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5873" w14:textId="5C987580" w:rsidR="00941728" w:rsidRDefault="00941728" w:rsidP="00941728">
      <w:pPr>
        <w:rPr>
          <w:rFonts w:ascii="Work Sans" w:hAnsi="Work Sans"/>
        </w:rPr>
      </w:pPr>
      <w:r>
        <w:rPr>
          <w:rFonts w:ascii="Work Sans" w:hAnsi="Work Sans"/>
          <w:noProof/>
        </w:rPr>
        <w:drawing>
          <wp:anchor distT="0" distB="0" distL="114300" distR="114300" simplePos="0" relativeHeight="251667968" behindDoc="0" locked="0" layoutInCell="1" allowOverlap="1" wp14:anchorId="2C08EDE6" wp14:editId="63DD4AC2">
            <wp:simplePos x="0" y="0"/>
            <wp:positionH relativeFrom="margin">
              <wp:posOffset>-114300</wp:posOffset>
            </wp:positionH>
            <wp:positionV relativeFrom="paragraph">
              <wp:posOffset>156210</wp:posOffset>
            </wp:positionV>
            <wp:extent cx="3209925" cy="1120140"/>
            <wp:effectExtent l="0" t="0" r="9525" b="3810"/>
            <wp:wrapSquare wrapText="bothSides"/>
            <wp:docPr id="1" name="Picture 1" descr="Cornell CALS: College of Agriculture and Life Sciences" title="C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Wordmark-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9925" cy="1120140"/>
                    </a:xfrm>
                    <a:prstGeom prst="rect">
                      <a:avLst/>
                    </a:prstGeom>
                  </pic:spPr>
                </pic:pic>
              </a:graphicData>
            </a:graphic>
            <wp14:sizeRelH relativeFrom="margin">
              <wp14:pctWidth>0</wp14:pctWidth>
            </wp14:sizeRelH>
            <wp14:sizeRelV relativeFrom="margin">
              <wp14:pctHeight>0</wp14:pctHeight>
            </wp14:sizeRelV>
          </wp:anchor>
        </w:drawing>
      </w:r>
    </w:p>
    <w:p w14:paraId="2AF33F12" w14:textId="1575A06F" w:rsidR="00941728" w:rsidRDefault="00941728" w:rsidP="00941728">
      <w:pPr>
        <w:rPr>
          <w:rFonts w:ascii="Work Sans" w:hAnsi="Work Sans"/>
        </w:rPr>
      </w:pPr>
      <w:r>
        <w:rPr>
          <w:rFonts w:ascii="Work Sans" w:hAnsi="Work Sans"/>
        </w:rPr>
        <w:t xml:space="preserve">                                                                                    </w:t>
      </w:r>
    </w:p>
    <w:p w14:paraId="50C762CA" w14:textId="77777777" w:rsidR="00941728" w:rsidRDefault="00941728" w:rsidP="00941728">
      <w:pPr>
        <w:rPr>
          <w:rFonts w:ascii="Work Sans" w:hAnsi="Work Sans"/>
        </w:rPr>
      </w:pPr>
      <w:bookmarkStart w:id="0" w:name="_Hlk162531622"/>
    </w:p>
    <w:p w14:paraId="0C25C3A4" w14:textId="77777777" w:rsidR="00941728" w:rsidRDefault="00941728" w:rsidP="00941728">
      <w:pPr>
        <w:rPr>
          <w:rFonts w:ascii="Work Sans" w:hAnsi="Work Sans"/>
        </w:rPr>
      </w:pPr>
      <w:bookmarkStart w:id="1" w:name="_Hlk162531603"/>
      <w:bookmarkStart w:id="2" w:name="_Hlk162531548"/>
      <w:r>
        <w:rPr>
          <w:rFonts w:ascii="Work Sans" w:hAnsi="Work Sans"/>
        </w:rPr>
        <w:t xml:space="preserve">Plant Disease Diagnostic Clinic </w:t>
      </w:r>
    </w:p>
    <w:bookmarkEnd w:id="1"/>
    <w:p w14:paraId="1FCF1F68" w14:textId="77777777" w:rsidR="00941728" w:rsidRDefault="00941728" w:rsidP="00941728">
      <w:pPr>
        <w:rPr>
          <w:rFonts w:ascii="Work Sans" w:hAnsi="Work Sans"/>
        </w:rPr>
      </w:pPr>
      <w:r>
        <w:rPr>
          <w:rFonts w:ascii="Work Sans" w:hAnsi="Work Sans"/>
        </w:rPr>
        <w:t>Plant Pathology and Plant-Microbe Biology Section</w:t>
      </w:r>
      <w:r>
        <w:rPr>
          <w:rFonts w:ascii="Work Sans" w:hAnsi="Work Sans"/>
        </w:rPr>
        <w:br/>
        <w:t xml:space="preserve">329 </w:t>
      </w:r>
      <w:r w:rsidRPr="00086928">
        <w:rPr>
          <w:rFonts w:ascii="Work Sans" w:hAnsi="Work Sans"/>
        </w:rPr>
        <w:t>Plant Science Building Ithaca, NY 14853</w:t>
      </w:r>
      <w:r w:rsidRPr="00086928">
        <w:rPr>
          <w:rFonts w:ascii="Times New Roman" w:hAnsi="Times New Roman" w:cs="Times New Roman"/>
        </w:rPr>
        <w:t>‐</w:t>
      </w:r>
      <w:r w:rsidRPr="00086928">
        <w:rPr>
          <w:rFonts w:ascii="Work Sans" w:hAnsi="Work Sans"/>
        </w:rPr>
        <w:t>5904</w:t>
      </w:r>
      <w:bookmarkEnd w:id="2"/>
      <w:r>
        <w:rPr>
          <w:rFonts w:ascii="Work Sans" w:hAnsi="Work Sans"/>
        </w:rPr>
        <w:br/>
      </w:r>
    </w:p>
    <w:bookmarkEnd w:id="0"/>
    <w:p w14:paraId="67F48E6E" w14:textId="77777777" w:rsidR="00941728" w:rsidRDefault="00941728" w:rsidP="00941728">
      <w:pPr>
        <w:rPr>
          <w:rFonts w:ascii="Work Sans" w:hAnsi="Work Sans"/>
        </w:rPr>
      </w:pPr>
    </w:p>
    <w:p w14:paraId="2312FD69" w14:textId="77777777" w:rsidR="00343ABB" w:rsidRDefault="00000000" w:rsidP="00225C5F">
      <w:pPr>
        <w:pStyle w:val="Title"/>
        <w:ind w:left="0"/>
      </w:pPr>
      <w:r>
        <w:t xml:space="preserve">Septoria Leaf Spot of </w:t>
      </w:r>
      <w:r>
        <w:rPr>
          <w:spacing w:val="-4"/>
        </w:rPr>
        <w:t>Hemp</w:t>
      </w:r>
    </w:p>
    <w:p w14:paraId="49DB48FD" w14:textId="68071C3F" w:rsidR="00941728" w:rsidRDefault="00941728" w:rsidP="00941728">
      <w:pPr>
        <w:pStyle w:val="Heading1"/>
        <w:spacing w:before="1"/>
        <w:ind w:left="0"/>
        <w:rPr>
          <w:spacing w:val="-2"/>
        </w:rPr>
      </w:pPr>
    </w:p>
    <w:p w14:paraId="7449EDF8" w14:textId="0EDF4EDB" w:rsidR="00343ABB" w:rsidRPr="00941728" w:rsidRDefault="00B80B0B" w:rsidP="00B80B0B">
      <w:pPr>
        <w:pStyle w:val="Heading1"/>
        <w:spacing w:after="120"/>
        <w:ind w:left="0"/>
        <w:sectPr w:rsidR="00343ABB" w:rsidRPr="00941728" w:rsidSect="00C12B24">
          <w:type w:val="continuous"/>
          <w:pgSz w:w="12240" w:h="15840"/>
          <w:pgMar w:top="740" w:right="620" w:bottom="280" w:left="880" w:header="720" w:footer="720" w:gutter="0"/>
          <w:cols w:space="720"/>
        </w:sectPr>
      </w:pPr>
      <w:r>
        <w:rPr>
          <w:noProof/>
        </w:rPr>
        <mc:AlternateContent>
          <mc:Choice Requires="wps">
            <w:drawing>
              <wp:anchor distT="0" distB="0" distL="114300" distR="114300" simplePos="0" relativeHeight="487593472" behindDoc="0" locked="0" layoutInCell="1" allowOverlap="1" wp14:anchorId="27E0EB12" wp14:editId="7114C1AF">
                <wp:simplePos x="0" y="0"/>
                <wp:positionH relativeFrom="column">
                  <wp:posOffset>3470910</wp:posOffset>
                </wp:positionH>
                <wp:positionV relativeFrom="paragraph">
                  <wp:posOffset>2266315</wp:posOffset>
                </wp:positionV>
                <wp:extent cx="3177540" cy="635"/>
                <wp:effectExtent l="0" t="0" r="0" b="0"/>
                <wp:wrapNone/>
                <wp:docPr id="1984908591" name="Text Box 1" descr="Diseases leaves in the inner and lower plant canopy. Yellow halos form around the brown leaf lesions until they coalesce."/>
                <wp:cNvGraphicFramePr/>
                <a:graphic xmlns:a="http://schemas.openxmlformats.org/drawingml/2006/main">
                  <a:graphicData uri="http://schemas.microsoft.com/office/word/2010/wordprocessingShape">
                    <wps:wsp>
                      <wps:cNvSpPr txBox="1"/>
                      <wps:spPr>
                        <a:xfrm>
                          <a:off x="0" y="0"/>
                          <a:ext cx="3177540" cy="635"/>
                        </a:xfrm>
                        <a:prstGeom prst="rect">
                          <a:avLst/>
                        </a:prstGeom>
                        <a:solidFill>
                          <a:prstClr val="white"/>
                        </a:solidFill>
                        <a:ln>
                          <a:noFill/>
                        </a:ln>
                      </wps:spPr>
                      <wps:txbx>
                        <w:txbxContent>
                          <w:p w14:paraId="35FB9065" w14:textId="4EEDB27B" w:rsidR="00B80B0B" w:rsidRPr="00B80B0B" w:rsidRDefault="00B80B0B" w:rsidP="00B80B0B">
                            <w:pPr>
                              <w:pStyle w:val="Caption"/>
                              <w:spacing w:after="120"/>
                              <w:rPr>
                                <w:rFonts w:ascii="Work Sans" w:eastAsia="Work Sans" w:hAnsi="Work Sans" w:cs="Work Sans"/>
                                <w:b/>
                                <w:bCs/>
                                <w:i w:val="0"/>
                                <w:iCs w:val="0"/>
                                <w:noProof/>
                                <w:color w:val="000000" w:themeColor="text1"/>
                                <w:sz w:val="20"/>
                                <w:szCs w:val="20"/>
                              </w:rPr>
                            </w:pPr>
                            <w:r w:rsidRPr="00B80B0B">
                              <w:rPr>
                                <w:i w:val="0"/>
                                <w:iCs w:val="0"/>
                                <w:color w:val="000000" w:themeColor="text1"/>
                                <w:sz w:val="20"/>
                                <w:szCs w:val="20"/>
                              </w:rPr>
                              <w:t>Figure 1:  Affected leaves in the inner and lower canopy. Yellow halos form around the brown lesions until they coalesce.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7E0EB12" id="_x0000_t202" coordsize="21600,21600" o:spt="202" path="m,l,21600r21600,l21600,xe">
                <v:stroke joinstyle="miter"/>
                <v:path gradientshapeok="t" o:connecttype="rect"/>
              </v:shapetype>
              <v:shape id="Text Box 1" o:spid="_x0000_s1026" type="#_x0000_t202" alt="Diseases leaves in the inner and lower plant canopy. Yellow halos form around the brown leaf lesions until they coalesce." style="position:absolute;margin-left:273.3pt;margin-top:178.45pt;width:250.2pt;height:.05pt;z-index:48759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" stroked="f">
                <v:textbox style="mso-fit-shape-to-text:t" inset="0,0,0,0">
                  <w:txbxContent>
                    <w:p w14:paraId="35FB9065" w14:textId="4EEDB27B" w:rsidR="00B80B0B" w:rsidRPr="00B80B0B" w:rsidRDefault="00B80B0B" w:rsidP="00B80B0B">
                      <w:pPr>
                        <w:pStyle w:val="Caption"/>
                        <w:spacing w:after="120"/>
                        <w:rPr>
                          <w:rFonts w:ascii="Work Sans" w:eastAsia="Work Sans" w:hAnsi="Work Sans" w:cs="Work Sans"/>
                          <w:b/>
                          <w:bCs/>
                          <w:i w:val="0"/>
                          <w:iCs w:val="0"/>
                          <w:noProof/>
                          <w:color w:val="000000" w:themeColor="text1"/>
                          <w:sz w:val="20"/>
                          <w:szCs w:val="20"/>
                        </w:rPr>
                      </w:pPr>
                      <w:r w:rsidRPr="00B80B0B">
                        <w:rPr>
                          <w:i w:val="0"/>
                          <w:iCs w:val="0"/>
                          <w:color w:val="000000" w:themeColor="text1"/>
                          <w:sz w:val="20"/>
                          <w:szCs w:val="20"/>
                        </w:rPr>
                        <w:t>Figure 1:  Affected leaves in the inner and lower canopy. Yellow halos form around the brown lesions until they coalesce.</w:t>
                      </w:r>
                    </w:p>
                  </w:txbxContent>
                </v:textbox>
              </v:shape>
            </w:pict>
          </mc:Fallback>
        </mc:AlternateContent>
      </w:r>
      <w:r w:rsidR="00941728">
        <w:rPr>
          <w:noProof/>
        </w:rPr>
        <w:drawing>
          <wp:anchor distT="0" distB="0" distL="0" distR="0" simplePos="0" relativeHeight="251642368" behindDoc="0" locked="0" layoutInCell="1" allowOverlap="1" wp14:anchorId="04766959" wp14:editId="0D50D8B8">
            <wp:simplePos x="0" y="0"/>
            <wp:positionH relativeFrom="page">
              <wp:posOffset>4029075</wp:posOffset>
            </wp:positionH>
            <wp:positionV relativeFrom="page">
              <wp:posOffset>2419350</wp:posOffset>
            </wp:positionV>
            <wp:extent cx="3177540" cy="2107565"/>
            <wp:effectExtent l="0" t="0" r="3810" b="6985"/>
            <wp:wrapNone/>
            <wp:docPr id="2" name="Image 2" descr="Affected leaves in the inner and lower canopy. Yellow halos form around the brown lesions until they coales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ffected leaves in the inner and lower canopy. Yellow halos form around the brown lesions until they coalesce."/>
                    <pic:cNvPicPr/>
                  </pic:nvPicPr>
                  <pic:blipFill>
                    <a:blip r:embed="rId6" cstate="print"/>
                    <a:stretch>
                      <a:fillRect/>
                    </a:stretch>
                  </pic:blipFill>
                  <pic:spPr>
                    <a:xfrm>
                      <a:off x="0" y="0"/>
                      <a:ext cx="3177540" cy="2107565"/>
                    </a:xfrm>
                    <a:prstGeom prst="rect">
                      <a:avLst/>
                    </a:prstGeom>
                  </pic:spPr>
                </pic:pic>
              </a:graphicData>
            </a:graphic>
          </wp:anchor>
        </w:drawing>
      </w:r>
      <w:r>
        <w:rPr>
          <w:spacing w:val="-2"/>
        </w:rPr>
        <w:t>Introduction</w:t>
      </w:r>
    </w:p>
    <w:p w14:paraId="533B33B6" w14:textId="77777777" w:rsidR="00343ABB" w:rsidRPr="00B80B0B" w:rsidRDefault="00000000" w:rsidP="00B80B0B">
      <w:pPr>
        <w:pStyle w:val="BodyText"/>
        <w:spacing w:after="120" w:line="259" w:lineRule="auto"/>
      </w:pPr>
      <w:r w:rsidRPr="00B80B0B">
        <w:t>Septoria leaf spot of field-grown hemp is caused</w:t>
      </w:r>
      <w:r w:rsidRPr="00B80B0B">
        <w:rPr>
          <w:spacing w:val="-1"/>
        </w:rPr>
        <w:t xml:space="preserve"> </w:t>
      </w:r>
      <w:r w:rsidRPr="00B80B0B">
        <w:t>by</w:t>
      </w:r>
      <w:r w:rsidRPr="00B80B0B">
        <w:rPr>
          <w:spacing w:val="-1"/>
        </w:rPr>
        <w:t xml:space="preserve"> </w:t>
      </w:r>
      <w:r w:rsidRPr="00B80B0B">
        <w:t>the</w:t>
      </w:r>
      <w:r w:rsidRPr="00B80B0B">
        <w:rPr>
          <w:spacing w:val="-1"/>
        </w:rPr>
        <w:t xml:space="preserve"> </w:t>
      </w:r>
      <w:r w:rsidRPr="00B80B0B">
        <w:t>ascomycetes</w:t>
      </w:r>
      <w:r w:rsidRPr="00B80B0B">
        <w:rPr>
          <w:spacing w:val="-1"/>
        </w:rPr>
        <w:t xml:space="preserve"> </w:t>
      </w:r>
      <w:r w:rsidRPr="00B80B0B">
        <w:rPr>
          <w:i/>
        </w:rPr>
        <w:t>Septoria</w:t>
      </w:r>
      <w:r w:rsidRPr="00B80B0B">
        <w:rPr>
          <w:i/>
          <w:spacing w:val="-1"/>
        </w:rPr>
        <w:t xml:space="preserve"> </w:t>
      </w:r>
      <w:r w:rsidRPr="00B80B0B">
        <w:rPr>
          <w:i/>
        </w:rPr>
        <w:t xml:space="preserve">cannabis </w:t>
      </w:r>
      <w:r w:rsidRPr="00B80B0B">
        <w:t xml:space="preserve">and </w:t>
      </w:r>
      <w:r w:rsidRPr="00B80B0B">
        <w:rPr>
          <w:i/>
        </w:rPr>
        <w:t xml:space="preserve">Septoria </w:t>
      </w:r>
      <w:proofErr w:type="spellStart"/>
      <w:r w:rsidRPr="00B80B0B">
        <w:rPr>
          <w:i/>
        </w:rPr>
        <w:t>neocannabina</w:t>
      </w:r>
      <w:proofErr w:type="spellEnd"/>
      <w:r w:rsidRPr="00B80B0B">
        <w:rPr>
          <w:i/>
        </w:rPr>
        <w:t xml:space="preserve">. </w:t>
      </w:r>
      <w:r w:rsidRPr="00B80B0B">
        <w:t>Periods of excessive rainfall and high humidity are conductive environmental conditions for the spread of the fungus, and the disease has caused excessive damage in New York State. In 2021, symptoms appeared in June and continued through September, with the highest disease severity in July and September (</w:t>
      </w:r>
      <w:proofErr w:type="spellStart"/>
      <w:r w:rsidRPr="00B80B0B">
        <w:t>Zuefle</w:t>
      </w:r>
      <w:proofErr w:type="spellEnd"/>
      <w:r w:rsidRPr="00B80B0B">
        <w:t>, 2022). It was detected a month earlier than it was in 2020 (</w:t>
      </w:r>
      <w:proofErr w:type="spellStart"/>
      <w:r w:rsidRPr="00B80B0B">
        <w:t>Zuefle</w:t>
      </w:r>
      <w:proofErr w:type="spellEnd"/>
      <w:r w:rsidRPr="00B80B0B">
        <w:t xml:space="preserve">, </w:t>
      </w:r>
      <w:r w:rsidRPr="00B80B0B">
        <w:rPr>
          <w:spacing w:val="-2"/>
        </w:rPr>
        <w:t>2021).</w:t>
      </w:r>
    </w:p>
    <w:p w14:paraId="088C562A" w14:textId="77777777" w:rsidR="00343ABB" w:rsidRPr="00B80B0B" w:rsidRDefault="00000000" w:rsidP="00B80B0B">
      <w:pPr>
        <w:pStyle w:val="BodyText"/>
        <w:spacing w:after="120" w:line="256" w:lineRule="auto"/>
      </w:pPr>
      <w:r w:rsidRPr="00B80B0B">
        <w:t xml:space="preserve">Although </w:t>
      </w:r>
      <w:r w:rsidRPr="00B80B0B">
        <w:rPr>
          <w:i/>
        </w:rPr>
        <w:t xml:space="preserve">S. cannabis </w:t>
      </w:r>
      <w:r w:rsidRPr="00B80B0B">
        <w:t xml:space="preserve">and </w:t>
      </w:r>
      <w:r w:rsidRPr="00B80B0B">
        <w:rPr>
          <w:i/>
        </w:rPr>
        <w:t xml:space="preserve">S. </w:t>
      </w:r>
      <w:proofErr w:type="spellStart"/>
      <w:r w:rsidRPr="00B80B0B">
        <w:rPr>
          <w:i/>
        </w:rPr>
        <w:t>neocannabina</w:t>
      </w:r>
      <w:proofErr w:type="spellEnd"/>
      <w:r w:rsidRPr="00B80B0B">
        <w:rPr>
          <w:i/>
        </w:rPr>
        <w:t xml:space="preserve"> </w:t>
      </w:r>
      <w:r w:rsidRPr="00B80B0B">
        <w:t>have only been observed on hemp, they are hypothesized</w:t>
      </w:r>
      <w:r w:rsidRPr="00B80B0B">
        <w:rPr>
          <w:spacing w:val="-1"/>
        </w:rPr>
        <w:t xml:space="preserve"> </w:t>
      </w:r>
      <w:r w:rsidRPr="00B80B0B">
        <w:t>to</w:t>
      </w:r>
      <w:r w:rsidRPr="00B80B0B">
        <w:rPr>
          <w:spacing w:val="-1"/>
        </w:rPr>
        <w:t xml:space="preserve"> </w:t>
      </w:r>
      <w:r w:rsidRPr="00B80B0B">
        <w:t>jump</w:t>
      </w:r>
      <w:r w:rsidRPr="00B80B0B">
        <w:rPr>
          <w:spacing w:val="-1"/>
        </w:rPr>
        <w:t xml:space="preserve"> </w:t>
      </w:r>
      <w:r w:rsidRPr="00B80B0B">
        <w:t>between</w:t>
      </w:r>
      <w:r w:rsidRPr="00B80B0B">
        <w:rPr>
          <w:spacing w:val="-1"/>
        </w:rPr>
        <w:t xml:space="preserve"> </w:t>
      </w:r>
      <w:r w:rsidRPr="00B80B0B">
        <w:t>hosts</w:t>
      </w:r>
      <w:r w:rsidRPr="00B80B0B">
        <w:rPr>
          <w:spacing w:val="-1"/>
        </w:rPr>
        <w:t xml:space="preserve"> </w:t>
      </w:r>
      <w:r w:rsidRPr="00B80B0B">
        <w:t>(genetic basis undetermined) or be present in other hosts</w:t>
      </w:r>
      <w:r w:rsidRPr="00B80B0B">
        <w:rPr>
          <w:spacing w:val="-1"/>
        </w:rPr>
        <w:t xml:space="preserve"> </w:t>
      </w:r>
      <w:r w:rsidRPr="00B80B0B">
        <w:t>at</w:t>
      </w:r>
      <w:r w:rsidRPr="00B80B0B">
        <w:rPr>
          <w:spacing w:val="-1"/>
        </w:rPr>
        <w:t xml:space="preserve"> </w:t>
      </w:r>
      <w:r w:rsidRPr="00B80B0B">
        <w:t>low</w:t>
      </w:r>
      <w:r w:rsidRPr="00B80B0B">
        <w:rPr>
          <w:spacing w:val="-1"/>
        </w:rPr>
        <w:t xml:space="preserve"> </w:t>
      </w:r>
      <w:r w:rsidRPr="00B80B0B">
        <w:t>levels</w:t>
      </w:r>
      <w:r w:rsidRPr="00B80B0B">
        <w:rPr>
          <w:spacing w:val="-1"/>
        </w:rPr>
        <w:t xml:space="preserve"> </w:t>
      </w:r>
      <w:r w:rsidRPr="00B80B0B">
        <w:t>(</w:t>
      </w:r>
      <w:proofErr w:type="spellStart"/>
      <w:r w:rsidRPr="00B80B0B">
        <w:t>Verkley</w:t>
      </w:r>
      <w:proofErr w:type="spellEnd"/>
      <w:r w:rsidRPr="00B80B0B">
        <w:t>,</w:t>
      </w:r>
      <w:r w:rsidRPr="00B80B0B">
        <w:rPr>
          <w:spacing w:val="-1"/>
        </w:rPr>
        <w:t xml:space="preserve"> </w:t>
      </w:r>
      <w:r w:rsidRPr="00B80B0B">
        <w:t>2013).</w:t>
      </w:r>
      <w:r w:rsidRPr="00B80B0B">
        <w:rPr>
          <w:spacing w:val="-1"/>
        </w:rPr>
        <w:t xml:space="preserve"> </w:t>
      </w:r>
      <w:r w:rsidRPr="00B80B0B">
        <w:t>Multi-gene sequencing using diagnostic loci failed to accurately differentiate between the species, as their sequences did not match published accessions (Rahnama 2021).</w:t>
      </w:r>
    </w:p>
    <w:p w14:paraId="0AD22BCE" w14:textId="77777777" w:rsidR="00343ABB" w:rsidRPr="00B80B0B" w:rsidRDefault="00343ABB" w:rsidP="00B80B0B">
      <w:pPr>
        <w:pStyle w:val="BodyText"/>
      </w:pPr>
    </w:p>
    <w:p w14:paraId="3BE72732" w14:textId="77777777" w:rsidR="00343ABB" w:rsidRDefault="00000000" w:rsidP="00B80B0B">
      <w:pPr>
        <w:pStyle w:val="Heading1"/>
        <w:spacing w:after="120"/>
        <w:ind w:left="0"/>
      </w:pPr>
      <w:r>
        <w:t>Signs</w:t>
      </w:r>
      <w:r>
        <w:rPr>
          <w:spacing w:val="-1"/>
        </w:rPr>
        <w:t xml:space="preserve"> </w:t>
      </w:r>
      <w:r>
        <w:t>and</w:t>
      </w:r>
      <w:r>
        <w:rPr>
          <w:spacing w:val="-1"/>
        </w:rPr>
        <w:t xml:space="preserve"> </w:t>
      </w:r>
      <w:r>
        <w:rPr>
          <w:spacing w:val="-2"/>
        </w:rPr>
        <w:t>Symptoms</w:t>
      </w:r>
    </w:p>
    <w:p w14:paraId="2DD78D32" w14:textId="166BB4EE" w:rsidR="00343ABB" w:rsidRDefault="00000000" w:rsidP="00B80B0B">
      <w:pPr>
        <w:pStyle w:val="BodyText"/>
        <w:spacing w:after="120" w:line="259" w:lineRule="auto"/>
      </w:pPr>
      <w:r>
        <w:t>Brown or black, irregular spots with yellow halos first appear on the leaves, with the first symptoms appearing on the lower leaves and inner</w:t>
      </w:r>
      <w:r>
        <w:rPr>
          <w:spacing w:val="-1"/>
        </w:rPr>
        <w:t xml:space="preserve"> </w:t>
      </w:r>
      <w:r>
        <w:t>canopy</w:t>
      </w:r>
      <w:r>
        <w:rPr>
          <w:spacing w:val="-1"/>
        </w:rPr>
        <w:t xml:space="preserve"> </w:t>
      </w:r>
      <w:r>
        <w:t>(Figures</w:t>
      </w:r>
      <w:r>
        <w:rPr>
          <w:spacing w:val="-1"/>
        </w:rPr>
        <w:t xml:space="preserve"> </w:t>
      </w:r>
      <w:r>
        <w:t>1).</w:t>
      </w:r>
      <w:r>
        <w:rPr>
          <w:spacing w:val="-1"/>
        </w:rPr>
        <w:t xml:space="preserve"> </w:t>
      </w:r>
      <w:r>
        <w:t>Severe</w:t>
      </w:r>
      <w:r>
        <w:rPr>
          <w:spacing w:val="-1"/>
        </w:rPr>
        <w:t xml:space="preserve"> </w:t>
      </w:r>
      <w:r>
        <w:t xml:space="preserve">defoliation can occur as the halos </w:t>
      </w:r>
      <w:proofErr w:type="gramStart"/>
      <w:r>
        <w:t>grow in size</w:t>
      </w:r>
      <w:proofErr w:type="gramEnd"/>
      <w:r>
        <w:t xml:space="preserve"> and eventually coalesce until the infected leaves drop</w:t>
      </w:r>
      <w:r>
        <w:rPr>
          <w:spacing w:val="-1"/>
        </w:rPr>
        <w:t xml:space="preserve"> </w:t>
      </w:r>
      <w:r>
        <w:t>from the</w:t>
      </w:r>
      <w:r>
        <w:rPr>
          <w:spacing w:val="-1"/>
        </w:rPr>
        <w:t xml:space="preserve"> </w:t>
      </w:r>
      <w:r>
        <w:t>plant.</w:t>
      </w:r>
      <w:r>
        <w:rPr>
          <w:spacing w:val="-1"/>
        </w:rPr>
        <w:t xml:space="preserve"> </w:t>
      </w:r>
      <w:r>
        <w:t>As</w:t>
      </w:r>
      <w:r>
        <w:rPr>
          <w:spacing w:val="-1"/>
        </w:rPr>
        <w:t xml:space="preserve"> </w:t>
      </w:r>
      <w:r>
        <w:t>the</w:t>
      </w:r>
      <w:r>
        <w:rPr>
          <w:spacing w:val="-1"/>
        </w:rPr>
        <w:t xml:space="preserve"> </w:t>
      </w:r>
      <w:r>
        <w:t>spots</w:t>
      </w:r>
      <w:r>
        <w:rPr>
          <w:spacing w:val="-1"/>
        </w:rPr>
        <w:t xml:space="preserve"> </w:t>
      </w:r>
      <w:r>
        <w:t>mature,</w:t>
      </w:r>
      <w:r>
        <w:rPr>
          <w:spacing w:val="-1"/>
        </w:rPr>
        <w:t xml:space="preserve"> </w:t>
      </w:r>
      <w:r>
        <w:t>they develop small, black pycnidia within the lesions on the top surface of the leaves.</w:t>
      </w:r>
    </w:p>
    <w:p w14:paraId="41507D72" w14:textId="77777777" w:rsidR="00343ABB" w:rsidRDefault="00000000" w:rsidP="00B80B0B">
      <w:pPr>
        <w:spacing w:after="120"/>
        <w:rPr>
          <w:sz w:val="20"/>
        </w:rPr>
      </w:pPr>
      <w:r>
        <w:br w:type="column"/>
      </w:r>
    </w:p>
    <w:p w14:paraId="47E966CA" w14:textId="77777777" w:rsidR="00343ABB" w:rsidRDefault="00343ABB" w:rsidP="00B80B0B">
      <w:pPr>
        <w:pStyle w:val="BodyText"/>
        <w:spacing w:after="120"/>
        <w:rPr>
          <w:sz w:val="20"/>
        </w:rPr>
      </w:pPr>
    </w:p>
    <w:p w14:paraId="60192E32" w14:textId="77777777" w:rsidR="00343ABB" w:rsidRDefault="00343ABB" w:rsidP="00B80B0B">
      <w:pPr>
        <w:pStyle w:val="BodyText"/>
        <w:spacing w:after="120"/>
        <w:rPr>
          <w:sz w:val="20"/>
        </w:rPr>
      </w:pPr>
    </w:p>
    <w:p w14:paraId="410E13B3" w14:textId="77777777" w:rsidR="00343ABB" w:rsidRDefault="00343ABB" w:rsidP="00B80B0B">
      <w:pPr>
        <w:pStyle w:val="BodyText"/>
        <w:spacing w:after="120"/>
        <w:rPr>
          <w:sz w:val="20"/>
        </w:rPr>
      </w:pPr>
    </w:p>
    <w:p w14:paraId="54168435" w14:textId="77777777" w:rsidR="00343ABB" w:rsidRDefault="00343ABB" w:rsidP="00B80B0B">
      <w:pPr>
        <w:pStyle w:val="BodyText"/>
        <w:spacing w:after="120"/>
        <w:rPr>
          <w:sz w:val="20"/>
        </w:rPr>
      </w:pPr>
    </w:p>
    <w:p w14:paraId="7EDAB859" w14:textId="77777777" w:rsidR="00343ABB" w:rsidRDefault="00343ABB" w:rsidP="00B80B0B">
      <w:pPr>
        <w:pStyle w:val="BodyText"/>
        <w:spacing w:after="120"/>
        <w:rPr>
          <w:sz w:val="20"/>
        </w:rPr>
      </w:pPr>
    </w:p>
    <w:p w14:paraId="27DF1908" w14:textId="77777777" w:rsidR="00343ABB" w:rsidRDefault="00343ABB" w:rsidP="00B80B0B">
      <w:pPr>
        <w:pStyle w:val="BodyText"/>
        <w:spacing w:after="120"/>
        <w:rPr>
          <w:sz w:val="20"/>
        </w:rPr>
      </w:pPr>
    </w:p>
    <w:p w14:paraId="34D0148F" w14:textId="77777777" w:rsidR="00343ABB" w:rsidRDefault="00343ABB" w:rsidP="00B80B0B">
      <w:pPr>
        <w:pStyle w:val="BodyText"/>
        <w:spacing w:after="120"/>
        <w:rPr>
          <w:sz w:val="20"/>
        </w:rPr>
      </w:pPr>
    </w:p>
    <w:p w14:paraId="2DB184D2" w14:textId="77777777" w:rsidR="00343ABB" w:rsidRDefault="00343ABB" w:rsidP="00B80B0B">
      <w:pPr>
        <w:pStyle w:val="BodyText"/>
        <w:spacing w:after="120"/>
        <w:rPr>
          <w:sz w:val="20"/>
        </w:rPr>
      </w:pPr>
    </w:p>
    <w:p w14:paraId="0E414216" w14:textId="77777777" w:rsidR="00343ABB" w:rsidRDefault="00343ABB" w:rsidP="00B80B0B">
      <w:pPr>
        <w:pStyle w:val="BodyText"/>
        <w:spacing w:after="120"/>
        <w:rPr>
          <w:sz w:val="20"/>
        </w:rPr>
      </w:pPr>
    </w:p>
    <w:p w14:paraId="4A5C896E" w14:textId="77777777" w:rsidR="00B80B0B" w:rsidRDefault="00B80B0B" w:rsidP="00B80B0B">
      <w:pPr>
        <w:pStyle w:val="BodyText"/>
        <w:spacing w:after="120" w:line="237" w:lineRule="auto"/>
      </w:pPr>
    </w:p>
    <w:p w14:paraId="4357775F" w14:textId="794AEC6A" w:rsidR="00343ABB" w:rsidRDefault="00000000" w:rsidP="00B80B0B">
      <w:pPr>
        <w:pStyle w:val="BodyText"/>
        <w:spacing w:after="120" w:line="237" w:lineRule="auto"/>
      </w:pPr>
      <w:r>
        <w:t>Pycnidia</w:t>
      </w:r>
      <w:r>
        <w:rPr>
          <w:spacing w:val="-3"/>
        </w:rPr>
        <w:t xml:space="preserve"> </w:t>
      </w:r>
      <w:r>
        <w:t>are</w:t>
      </w:r>
      <w:r>
        <w:rPr>
          <w:spacing w:val="-3"/>
        </w:rPr>
        <w:t xml:space="preserve"> </w:t>
      </w:r>
      <w:r>
        <w:t>the</w:t>
      </w:r>
      <w:r>
        <w:rPr>
          <w:spacing w:val="-3"/>
        </w:rPr>
        <w:t xml:space="preserve"> </w:t>
      </w:r>
      <w:r>
        <w:t>fruiting</w:t>
      </w:r>
      <w:r>
        <w:rPr>
          <w:spacing w:val="-3"/>
        </w:rPr>
        <w:t xml:space="preserve"> </w:t>
      </w:r>
      <w:r>
        <w:t>body</w:t>
      </w:r>
      <w:r>
        <w:rPr>
          <w:spacing w:val="-3"/>
        </w:rPr>
        <w:t xml:space="preserve"> </w:t>
      </w:r>
      <w:r>
        <w:t>of</w:t>
      </w:r>
      <w:r>
        <w:rPr>
          <w:spacing w:val="-3"/>
        </w:rPr>
        <w:t xml:space="preserve"> </w:t>
      </w:r>
      <w:r>
        <w:t>the</w:t>
      </w:r>
      <w:r>
        <w:rPr>
          <w:spacing w:val="-3"/>
        </w:rPr>
        <w:t xml:space="preserve"> </w:t>
      </w:r>
      <w:r>
        <w:t>fungus</w:t>
      </w:r>
      <w:r>
        <w:rPr>
          <w:spacing w:val="-3"/>
        </w:rPr>
        <w:t xml:space="preserve"> </w:t>
      </w:r>
      <w:r>
        <w:t>and can be seen with the naked eye, distinguishing the fungus from other diseases (Figure 2). In moist conditions, they exude a thin, white, curly, or ribbon-like spore tendril (Figure 3).</w:t>
      </w:r>
    </w:p>
    <w:p w14:paraId="0D8B48AA" w14:textId="77777777" w:rsidR="00343ABB" w:rsidRDefault="00000000" w:rsidP="00B80B0B">
      <w:pPr>
        <w:pStyle w:val="BodyText"/>
        <w:spacing w:after="120" w:line="237" w:lineRule="auto"/>
      </w:pPr>
      <w:r>
        <w:t>Conidia (spores) can be visualized under a confocal microscope. Conidia are pointed at the</w:t>
      </w:r>
      <w:r>
        <w:rPr>
          <w:spacing w:val="-2"/>
        </w:rPr>
        <w:t xml:space="preserve"> </w:t>
      </w:r>
      <w:r>
        <w:t>apex</w:t>
      </w:r>
      <w:r>
        <w:rPr>
          <w:spacing w:val="-2"/>
        </w:rPr>
        <w:t xml:space="preserve"> </w:t>
      </w:r>
      <w:r>
        <w:t>and</w:t>
      </w:r>
      <w:r>
        <w:rPr>
          <w:spacing w:val="-2"/>
        </w:rPr>
        <w:t xml:space="preserve"> </w:t>
      </w:r>
      <w:r>
        <w:t>can</w:t>
      </w:r>
      <w:r>
        <w:rPr>
          <w:spacing w:val="-2"/>
        </w:rPr>
        <w:t xml:space="preserve"> </w:t>
      </w:r>
      <w:r>
        <w:t>be</w:t>
      </w:r>
      <w:r>
        <w:rPr>
          <w:spacing w:val="-2"/>
        </w:rPr>
        <w:t xml:space="preserve"> </w:t>
      </w:r>
      <w:r>
        <w:t>either</w:t>
      </w:r>
      <w:r>
        <w:rPr>
          <w:spacing w:val="-2"/>
        </w:rPr>
        <w:t xml:space="preserve"> </w:t>
      </w:r>
      <w:r>
        <w:t>curved</w:t>
      </w:r>
      <w:r>
        <w:rPr>
          <w:spacing w:val="-2"/>
        </w:rPr>
        <w:t xml:space="preserve"> </w:t>
      </w:r>
      <w:r>
        <w:t>or</w:t>
      </w:r>
      <w:r>
        <w:rPr>
          <w:spacing w:val="-2"/>
        </w:rPr>
        <w:t xml:space="preserve"> </w:t>
      </w:r>
      <w:r>
        <w:t xml:space="preserve">straight (Figure 4). They typically have 3-4 </w:t>
      </w:r>
      <w:r>
        <w:rPr>
          <w:spacing w:val="-2"/>
        </w:rPr>
        <w:t>septations.</w:t>
      </w:r>
    </w:p>
    <w:p w14:paraId="336F4A5F" w14:textId="63320DCA" w:rsidR="00343ABB" w:rsidRDefault="00B80B0B" w:rsidP="00B80B0B">
      <w:pPr>
        <w:pStyle w:val="BodyText"/>
        <w:spacing w:after="120"/>
        <w:rPr>
          <w:sz w:val="20"/>
        </w:rPr>
      </w:pPr>
      <w:r>
        <w:rPr>
          <w:noProof/>
        </w:rPr>
        <mc:AlternateContent>
          <mc:Choice Requires="wps">
            <w:drawing>
              <wp:anchor distT="0" distB="0" distL="114300" distR="114300" simplePos="0" relativeHeight="251671040" behindDoc="0" locked="0" layoutInCell="1" allowOverlap="1" wp14:anchorId="1247E7CF" wp14:editId="50A131D7">
                <wp:simplePos x="0" y="0"/>
                <wp:positionH relativeFrom="column">
                  <wp:posOffset>34925</wp:posOffset>
                </wp:positionH>
                <wp:positionV relativeFrom="paragraph">
                  <wp:posOffset>2425700</wp:posOffset>
                </wp:positionV>
                <wp:extent cx="2988310" cy="635"/>
                <wp:effectExtent l="0" t="0" r="0" b="0"/>
                <wp:wrapTopAndBottom/>
                <wp:docPr id="524753181" name="Text Box 1" descr="Small dark fungal  pycnidia emerging from foliar lesions."/>
                <wp:cNvGraphicFramePr/>
                <a:graphic xmlns:a="http://schemas.openxmlformats.org/drawingml/2006/main">
                  <a:graphicData uri="http://schemas.microsoft.com/office/word/2010/wordprocessingShape">
                    <wps:wsp>
                      <wps:cNvSpPr txBox="1"/>
                      <wps:spPr>
                        <a:xfrm>
                          <a:off x="0" y="0"/>
                          <a:ext cx="2988310" cy="635"/>
                        </a:xfrm>
                        <a:prstGeom prst="rect">
                          <a:avLst/>
                        </a:prstGeom>
                        <a:solidFill>
                          <a:prstClr val="white"/>
                        </a:solidFill>
                        <a:ln>
                          <a:noFill/>
                        </a:ln>
                      </wps:spPr>
                      <wps:txbx>
                        <w:txbxContent>
                          <w:p w14:paraId="16F73D42" w14:textId="1AAFDBC4" w:rsidR="00B80B0B" w:rsidRPr="00B80B0B" w:rsidRDefault="00B80B0B" w:rsidP="00B80B0B">
                            <w:pPr>
                              <w:pStyle w:val="Caption"/>
                              <w:rPr>
                                <w:i w:val="0"/>
                                <w:iCs w:val="0"/>
                                <w:noProof/>
                                <w:color w:val="000000" w:themeColor="text1"/>
                                <w:sz w:val="20"/>
                                <w:szCs w:val="20"/>
                              </w:rPr>
                            </w:pPr>
                            <w:r w:rsidRPr="00B80B0B">
                              <w:rPr>
                                <w:i w:val="0"/>
                                <w:iCs w:val="0"/>
                                <w:color w:val="000000" w:themeColor="text1"/>
                                <w:sz w:val="20"/>
                                <w:szCs w:val="20"/>
                              </w:rPr>
                              <w:t>Figure 2: Mature pycnidia emerging from the lesion.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247E7CF" id="_x0000_s1027" type="#_x0000_t202" alt="Small dark fungal  pycnidia emerging from foliar lesions." style="position:absolute;margin-left:2.75pt;margin-top:191pt;width:235.3pt;height:.0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" stroked="f">
                <v:textbox style="mso-fit-shape-to-text:t" inset="0,0,0,0">
                  <w:txbxContent>
                    <w:p w14:paraId="16F73D42" w14:textId="1AAFDBC4" w:rsidR="00B80B0B" w:rsidRPr="00B80B0B" w:rsidRDefault="00B80B0B" w:rsidP="00B80B0B">
                      <w:pPr>
                        <w:pStyle w:val="Caption"/>
                        <w:rPr>
                          <w:i w:val="0"/>
                          <w:iCs w:val="0"/>
                          <w:noProof/>
                          <w:color w:val="000000" w:themeColor="text1"/>
                          <w:sz w:val="20"/>
                          <w:szCs w:val="20"/>
                        </w:rPr>
                      </w:pPr>
                      <w:r w:rsidRPr="00B80B0B">
                        <w:rPr>
                          <w:i w:val="0"/>
                          <w:iCs w:val="0"/>
                          <w:color w:val="000000" w:themeColor="text1"/>
                          <w:sz w:val="20"/>
                          <w:szCs w:val="20"/>
                        </w:rPr>
                        <w:t>Figure 2: Mature pycnidia emerging from the lesion.</w:t>
                      </w:r>
                    </w:p>
                  </w:txbxContent>
                </v:textbox>
                <w10:wrap type="topAndBottom"/>
              </v:shape>
            </w:pict>
          </mc:Fallback>
        </mc:AlternateContent>
      </w:r>
      <w:r>
        <w:rPr>
          <w:noProof/>
        </w:rPr>
        <w:drawing>
          <wp:anchor distT="0" distB="0" distL="0" distR="0" simplePos="0" relativeHeight="251655680" behindDoc="1" locked="0" layoutInCell="1" allowOverlap="1" wp14:anchorId="1471AD01" wp14:editId="7552664B">
            <wp:simplePos x="0" y="0"/>
            <wp:positionH relativeFrom="page">
              <wp:posOffset>4027170</wp:posOffset>
            </wp:positionH>
            <wp:positionV relativeFrom="paragraph">
              <wp:posOffset>148590</wp:posOffset>
            </wp:positionV>
            <wp:extent cx="2988363" cy="2220277"/>
            <wp:effectExtent l="0" t="0" r="0" b="0"/>
            <wp:wrapTopAndBottom/>
            <wp:docPr id="3" name="Image 3" descr="Spore tendrils emerging from pycnidia under moist conditi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Spore tendrils emerging from pycnidia under moist conditions."/>
                    <pic:cNvPicPr/>
                  </pic:nvPicPr>
                  <pic:blipFill>
                    <a:blip r:embed="rId7" cstate="print"/>
                    <a:stretch>
                      <a:fillRect/>
                    </a:stretch>
                  </pic:blipFill>
                  <pic:spPr>
                    <a:xfrm>
                      <a:off x="0" y="0"/>
                      <a:ext cx="2988363" cy="2220277"/>
                    </a:xfrm>
                    <a:prstGeom prst="rect">
                      <a:avLst/>
                    </a:prstGeom>
                  </pic:spPr>
                </pic:pic>
              </a:graphicData>
            </a:graphic>
          </wp:anchor>
        </w:drawing>
      </w:r>
    </w:p>
    <w:p w14:paraId="380DCAD6" w14:textId="77777777" w:rsidR="00343ABB" w:rsidRDefault="00343ABB" w:rsidP="00B80B0B">
      <w:pPr>
        <w:spacing w:after="120"/>
        <w:rPr>
          <w:sz w:val="20"/>
        </w:rPr>
        <w:sectPr w:rsidR="00343ABB" w:rsidSect="00C12B24">
          <w:type w:val="continuous"/>
          <w:pgSz w:w="12240" w:h="15840"/>
          <w:pgMar w:top="740" w:right="620" w:bottom="280" w:left="880" w:header="720" w:footer="720" w:gutter="0"/>
          <w:cols w:num="2" w:space="720" w:equalWidth="0">
            <w:col w:w="5031" w:space="376"/>
            <w:col w:w="5333"/>
          </w:cols>
        </w:sectPr>
      </w:pPr>
    </w:p>
    <w:p w14:paraId="042B5860" w14:textId="77777777" w:rsidR="00343ABB" w:rsidRDefault="00343ABB" w:rsidP="00B80B0B">
      <w:pPr>
        <w:pStyle w:val="BodyText"/>
        <w:spacing w:after="120"/>
        <w:rPr>
          <w:sz w:val="2"/>
        </w:rPr>
      </w:pPr>
    </w:p>
    <w:p w14:paraId="6F188DE1" w14:textId="77777777" w:rsidR="00B80B0B" w:rsidRDefault="00000000" w:rsidP="00B80B0B">
      <w:pPr>
        <w:pStyle w:val="BodyText"/>
        <w:keepNext/>
        <w:spacing w:after="120"/>
      </w:pPr>
      <w:r>
        <w:rPr>
          <w:noProof/>
          <w:sz w:val="20"/>
        </w:rPr>
        <w:drawing>
          <wp:inline distT="0" distB="0" distL="0" distR="0" wp14:anchorId="64948D70" wp14:editId="4DA859F8">
            <wp:extent cx="2904678" cy="2171700"/>
            <wp:effectExtent l="0" t="0" r="0" b="0"/>
            <wp:docPr id="4" name="Image 4" descr="Tendrils of spores oozing from pycnidia on leaf under moist conditi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Tendrils of spores oozing from pycnidia on leaf under moist conditions."/>
                    <pic:cNvPicPr/>
                  </pic:nvPicPr>
                  <pic:blipFill>
                    <a:blip r:embed="rId8" cstate="print"/>
                    <a:stretch>
                      <a:fillRect/>
                    </a:stretch>
                  </pic:blipFill>
                  <pic:spPr>
                    <a:xfrm>
                      <a:off x="0" y="0"/>
                      <a:ext cx="2904678" cy="2171700"/>
                    </a:xfrm>
                    <a:prstGeom prst="rect">
                      <a:avLst/>
                    </a:prstGeom>
                  </pic:spPr>
                </pic:pic>
              </a:graphicData>
            </a:graphic>
          </wp:inline>
        </w:drawing>
      </w:r>
    </w:p>
    <w:p w14:paraId="0DEA0C2E" w14:textId="2E75AC05" w:rsidR="00343ABB" w:rsidRPr="00B80B0B" w:rsidRDefault="00B80B0B" w:rsidP="00B80B0B">
      <w:pPr>
        <w:pStyle w:val="Caption"/>
        <w:spacing w:after="0"/>
        <w:rPr>
          <w:i w:val="0"/>
          <w:iCs w:val="0"/>
          <w:color w:val="000000" w:themeColor="text1"/>
          <w:sz w:val="20"/>
          <w:szCs w:val="20"/>
        </w:rPr>
      </w:pPr>
      <w:r>
        <w:rPr>
          <w:noProof/>
        </w:rPr>
        <mc:AlternateContent>
          <mc:Choice Requires="wps">
            <w:drawing>
              <wp:anchor distT="0" distB="0" distL="114300" distR="114300" simplePos="0" relativeHeight="251675136" behindDoc="0" locked="0" layoutInCell="1" allowOverlap="1" wp14:anchorId="5E0ED100" wp14:editId="2BD28BB8">
                <wp:simplePos x="0" y="0"/>
                <wp:positionH relativeFrom="column">
                  <wp:posOffset>41275</wp:posOffset>
                </wp:positionH>
                <wp:positionV relativeFrom="paragraph">
                  <wp:posOffset>2943860</wp:posOffset>
                </wp:positionV>
                <wp:extent cx="2864485" cy="635"/>
                <wp:effectExtent l="0" t="0" r="0" b="3175"/>
                <wp:wrapTopAndBottom/>
                <wp:docPr id="464697464" name="Text Box 1" descr="Conidia under 10x compound microscope"/>
                <wp:cNvGraphicFramePr/>
                <a:graphic xmlns:a="http://schemas.openxmlformats.org/drawingml/2006/main">
                  <a:graphicData uri="http://schemas.microsoft.com/office/word/2010/wordprocessingShape">
                    <wps:wsp>
                      <wps:cNvSpPr txBox="1"/>
                      <wps:spPr>
                        <a:xfrm>
                          <a:off x="0" y="0"/>
                          <a:ext cx="2864485" cy="635"/>
                        </a:xfrm>
                        <a:prstGeom prst="rect">
                          <a:avLst/>
                        </a:prstGeom>
                        <a:solidFill>
                          <a:prstClr val="white"/>
                        </a:solidFill>
                        <a:ln>
                          <a:noFill/>
                        </a:ln>
                      </wps:spPr>
                      <wps:txbx>
                        <w:txbxContent>
                          <w:p w14:paraId="0387DB10" w14:textId="6A8A8269" w:rsidR="00B80B0B" w:rsidRPr="00B80B0B" w:rsidRDefault="00B80B0B" w:rsidP="00B80B0B">
                            <w:pPr>
                              <w:pStyle w:val="Caption"/>
                              <w:spacing w:after="120"/>
                              <w:rPr>
                                <w:i w:val="0"/>
                                <w:iCs w:val="0"/>
                                <w:noProof/>
                                <w:color w:val="000000" w:themeColor="text1"/>
                                <w:sz w:val="20"/>
                                <w:szCs w:val="20"/>
                              </w:rPr>
                            </w:pPr>
                            <w:r w:rsidRPr="00B80B0B">
                              <w:rPr>
                                <w:i w:val="0"/>
                                <w:iCs w:val="0"/>
                                <w:color w:val="000000" w:themeColor="text1"/>
                                <w:sz w:val="20"/>
                                <w:szCs w:val="20"/>
                              </w:rPr>
                              <w:t>Figure 4: Conidia under 10x compound microscope.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E0ED100" id="_x0000_s1028" type="#_x0000_t202" alt="Conidia under 10x compound microscope" style="position:absolute;margin-left:3.25pt;margin-top:231.8pt;width:225.55pt;height:.0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" stroked="f">
                <v:textbox style="mso-fit-shape-to-text:t" inset="0,0,0,0">
                  <w:txbxContent>
                    <w:p w14:paraId="0387DB10" w14:textId="6A8A8269" w:rsidR="00B80B0B" w:rsidRPr="00B80B0B" w:rsidRDefault="00B80B0B" w:rsidP="00B80B0B">
                      <w:pPr>
                        <w:pStyle w:val="Caption"/>
                        <w:spacing w:after="120"/>
                        <w:rPr>
                          <w:i w:val="0"/>
                          <w:iCs w:val="0"/>
                          <w:noProof/>
                          <w:color w:val="000000" w:themeColor="text1"/>
                          <w:sz w:val="20"/>
                          <w:szCs w:val="20"/>
                        </w:rPr>
                      </w:pPr>
                      <w:r w:rsidRPr="00B80B0B">
                        <w:rPr>
                          <w:i w:val="0"/>
                          <w:iCs w:val="0"/>
                          <w:color w:val="000000" w:themeColor="text1"/>
                          <w:sz w:val="20"/>
                          <w:szCs w:val="20"/>
                        </w:rPr>
                        <w:t>Figure 4: Conidia under 10x compound microscope.</w:t>
                      </w:r>
                    </w:p>
                  </w:txbxContent>
                </v:textbox>
                <w10:wrap type="topAndBottom"/>
              </v:shape>
            </w:pict>
          </mc:Fallback>
        </mc:AlternateContent>
      </w:r>
      <w:r w:rsidRPr="00B80B0B">
        <w:rPr>
          <w:i w:val="0"/>
          <w:iCs w:val="0"/>
          <w:color w:val="000000" w:themeColor="text1"/>
          <w:sz w:val="20"/>
          <w:szCs w:val="20"/>
        </w:rPr>
        <w:t>Figure 3: Spore tendrils emerging from pycnidia under moist conditions.</w:t>
      </w:r>
    </w:p>
    <w:p w14:paraId="085E44B6" w14:textId="0DF5EC44" w:rsidR="00343ABB" w:rsidRDefault="00000000" w:rsidP="00B80B0B">
      <w:pPr>
        <w:pStyle w:val="BodyText"/>
        <w:spacing w:after="120"/>
        <w:rPr>
          <w:sz w:val="20"/>
        </w:rPr>
      </w:pPr>
      <w:r>
        <w:rPr>
          <w:noProof/>
        </w:rPr>
        <w:drawing>
          <wp:anchor distT="0" distB="0" distL="0" distR="0" simplePos="0" relativeHeight="251664896" behindDoc="1" locked="0" layoutInCell="1" allowOverlap="1" wp14:anchorId="36D70BBC" wp14:editId="6BFEF271">
            <wp:simplePos x="0" y="0"/>
            <wp:positionH relativeFrom="page">
              <wp:posOffset>599771</wp:posOffset>
            </wp:positionH>
            <wp:positionV relativeFrom="paragraph">
              <wp:posOffset>193040</wp:posOffset>
            </wp:positionV>
            <wp:extent cx="2864745" cy="2305526"/>
            <wp:effectExtent l="0" t="0" r="0" b="0"/>
            <wp:wrapTopAndBottom/>
            <wp:docPr id="5" name="Image 5" descr="Masses of conidia viewed under 10x magnification with compound microscop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Masses of conidia viewed under 10x magnification with compound microscope"/>
                    <pic:cNvPicPr/>
                  </pic:nvPicPr>
                  <pic:blipFill>
                    <a:blip r:embed="rId9" cstate="print"/>
                    <a:stretch>
                      <a:fillRect/>
                    </a:stretch>
                  </pic:blipFill>
                  <pic:spPr>
                    <a:xfrm>
                      <a:off x="0" y="0"/>
                      <a:ext cx="2864745" cy="2305526"/>
                    </a:xfrm>
                    <a:prstGeom prst="rect">
                      <a:avLst/>
                    </a:prstGeom>
                  </pic:spPr>
                </pic:pic>
              </a:graphicData>
            </a:graphic>
          </wp:anchor>
        </w:drawing>
      </w:r>
    </w:p>
    <w:p w14:paraId="092BC20B" w14:textId="77777777" w:rsidR="00343ABB" w:rsidRDefault="00000000" w:rsidP="00B80B0B">
      <w:pPr>
        <w:pStyle w:val="Heading1"/>
        <w:spacing w:after="120" w:line="268" w:lineRule="auto"/>
        <w:ind w:left="0"/>
        <w:rPr>
          <w:rFonts w:ascii="Work Sans Black"/>
        </w:rPr>
      </w:pPr>
      <w:r>
        <w:rPr>
          <w:rFonts w:ascii="Work Sans Black"/>
        </w:rPr>
        <w:t>Epidemiology</w:t>
      </w:r>
      <w:r>
        <w:rPr>
          <w:rFonts w:ascii="Work Sans Black"/>
          <w:spacing w:val="-7"/>
        </w:rPr>
        <w:t xml:space="preserve"> </w:t>
      </w:r>
      <w:r>
        <w:rPr>
          <w:rFonts w:ascii="Work Sans Black"/>
        </w:rPr>
        <w:t>and</w:t>
      </w:r>
      <w:r>
        <w:rPr>
          <w:rFonts w:ascii="Work Sans Black"/>
          <w:spacing w:val="-7"/>
        </w:rPr>
        <w:t xml:space="preserve"> </w:t>
      </w:r>
      <w:r>
        <w:rPr>
          <w:rFonts w:ascii="Work Sans Black"/>
        </w:rPr>
        <w:t xml:space="preserve">Disease </w:t>
      </w:r>
      <w:r>
        <w:rPr>
          <w:rFonts w:ascii="Work Sans Black"/>
          <w:spacing w:val="-2"/>
        </w:rPr>
        <w:t>Cycle</w:t>
      </w:r>
    </w:p>
    <w:p w14:paraId="6EBFCA8E" w14:textId="01366A79" w:rsidR="00343ABB" w:rsidRDefault="00000000" w:rsidP="00B80B0B">
      <w:pPr>
        <w:pStyle w:val="BodyText"/>
        <w:spacing w:after="120" w:line="259" w:lineRule="auto"/>
      </w:pPr>
      <w:r>
        <w:t xml:space="preserve">Disease cycles of </w:t>
      </w:r>
      <w:r>
        <w:rPr>
          <w:i/>
        </w:rPr>
        <w:t xml:space="preserve">Septoria </w:t>
      </w:r>
      <w:r>
        <w:t>spp. in hemp are unknown, but it is likely that the primary infection of healthy plants originates from overwintering pycnidia in debris or from</w:t>
      </w:r>
      <w:r>
        <w:rPr>
          <w:spacing w:val="40"/>
        </w:rPr>
        <w:t xml:space="preserve"> </w:t>
      </w:r>
      <w:r>
        <w:t>an alternative host. Conidia germinate and infect hosts through the stomata (</w:t>
      </w:r>
      <w:proofErr w:type="spellStart"/>
      <w:r>
        <w:t>McEno</w:t>
      </w:r>
      <w:proofErr w:type="spellEnd"/>
      <w:r>
        <w:t xml:space="preserve"> 1998). Host jumping could occur through asymptomatic tissue infection, but it is believed that </w:t>
      </w:r>
      <w:r>
        <w:rPr>
          <w:i/>
        </w:rPr>
        <w:t xml:space="preserve">Septoria </w:t>
      </w:r>
      <w:r>
        <w:t>spp. have narrow host ranges (</w:t>
      </w:r>
      <w:proofErr w:type="spellStart"/>
      <w:r>
        <w:t>Verkley</w:t>
      </w:r>
      <w:proofErr w:type="spellEnd"/>
      <w:r>
        <w:t xml:space="preserve"> 2013).</w:t>
      </w:r>
    </w:p>
    <w:p w14:paraId="4D677CB4" w14:textId="7EC15586" w:rsidR="00343ABB" w:rsidRDefault="00000000" w:rsidP="00B80B0B">
      <w:pPr>
        <w:pStyle w:val="BodyText"/>
        <w:spacing w:after="120" w:line="259" w:lineRule="auto"/>
      </w:pPr>
      <w:r>
        <w:br w:type="column"/>
      </w:r>
      <w:r>
        <w:t>Secondary infection by Septoria occurs in moist conditions via conidia during the growing season. Conidia are both wind and water disseminated. No sexual cycle has been determined. Disease develops through the asexual life cycle and can continue to infect plants in a polycyclic manner.</w:t>
      </w:r>
      <w:r>
        <w:rPr>
          <w:spacing w:val="40"/>
        </w:rPr>
        <w:t xml:space="preserve"> </w:t>
      </w:r>
      <w:r>
        <w:t>(</w:t>
      </w:r>
      <w:proofErr w:type="spellStart"/>
      <w:r>
        <w:t>Quaedvlieg</w:t>
      </w:r>
      <w:proofErr w:type="spellEnd"/>
      <w:r>
        <w:t>, 2006).</w:t>
      </w:r>
    </w:p>
    <w:p w14:paraId="0DD9D848" w14:textId="77777777" w:rsidR="00B80B0B" w:rsidRDefault="00B80B0B" w:rsidP="00B80B0B">
      <w:pPr>
        <w:pStyle w:val="BodyText"/>
        <w:spacing w:after="120" w:line="259" w:lineRule="auto"/>
      </w:pPr>
    </w:p>
    <w:p w14:paraId="1627F077" w14:textId="77777777" w:rsidR="00343ABB" w:rsidRDefault="00000000" w:rsidP="00B80B0B">
      <w:pPr>
        <w:pStyle w:val="Heading1"/>
        <w:spacing w:after="120"/>
        <w:ind w:left="0"/>
      </w:pPr>
      <w:r>
        <w:t>Management</w:t>
      </w:r>
      <w:r>
        <w:rPr>
          <w:spacing w:val="11"/>
        </w:rPr>
        <w:t xml:space="preserve"> </w:t>
      </w:r>
      <w:r>
        <w:rPr>
          <w:spacing w:val="-2"/>
        </w:rPr>
        <w:t>Strategies</w:t>
      </w:r>
    </w:p>
    <w:p w14:paraId="5AA0CC9C" w14:textId="77777777" w:rsidR="00B80B0B" w:rsidRDefault="00000000" w:rsidP="00B80B0B">
      <w:pPr>
        <w:pStyle w:val="BodyText"/>
        <w:spacing w:after="120" w:line="259" w:lineRule="auto"/>
      </w:pPr>
      <w:r>
        <w:t xml:space="preserve">Preventative measures for Septoria include reducing humidity and allowing adequate space between plants to increase airflow. Infected leaves should be pruned off the plant and fallen leaves should be disposed of. </w:t>
      </w:r>
      <w:proofErr w:type="gramStart"/>
      <w:r>
        <w:t>Deep-tilling</w:t>
      </w:r>
      <w:proofErr w:type="gramEnd"/>
      <w:r>
        <w:t xml:space="preserve"> the fields in between growing seasons will aid in burying</w:t>
      </w:r>
      <w:r>
        <w:rPr>
          <w:spacing w:val="40"/>
        </w:rPr>
        <w:t xml:space="preserve"> </w:t>
      </w:r>
      <w:r>
        <w:t>infected debris. Synthetic fungicides are not currently approved to be used on</w:t>
      </w:r>
      <w:r>
        <w:rPr>
          <w:spacing w:val="80"/>
        </w:rPr>
        <w:t xml:space="preserve"> </w:t>
      </w:r>
      <w:r>
        <w:t xml:space="preserve">hemp in New York State, but biological products containing </w:t>
      </w:r>
      <w:r>
        <w:rPr>
          <w:i/>
        </w:rPr>
        <w:t xml:space="preserve">Bacillus </w:t>
      </w:r>
      <w:r>
        <w:t xml:space="preserve">spp. and </w:t>
      </w:r>
      <w:proofErr w:type="spellStart"/>
      <w:r>
        <w:rPr>
          <w:i/>
        </w:rPr>
        <w:t>Ulocladium</w:t>
      </w:r>
      <w:proofErr w:type="spellEnd"/>
      <w:r>
        <w:rPr>
          <w:i/>
        </w:rPr>
        <w:t xml:space="preserve"> </w:t>
      </w:r>
      <w:r>
        <w:t>spp. have aided in decreased fungal growth in vitro. These biological control agents have very different nontoxic mechanisms of action and may take a longer time to suppress diseases than conventional fungicides (Dixon 2022).</w:t>
      </w:r>
    </w:p>
    <w:p w14:paraId="238BBE64" w14:textId="70A2EC08" w:rsidR="00343ABB" w:rsidRDefault="00000000" w:rsidP="00B80B0B">
      <w:pPr>
        <w:pStyle w:val="BodyText"/>
        <w:spacing w:after="120" w:line="259" w:lineRule="auto"/>
      </w:pPr>
      <w:r>
        <w:t>The USDA IR-4 project could provide more research and allow the chemical control of pathogens on hemp, which is considered a specialty crop. Currently, no commercial hemp varieties are resistant to Septoria</w:t>
      </w:r>
      <w:r>
        <w:rPr>
          <w:spacing w:val="80"/>
        </w:rPr>
        <w:t xml:space="preserve"> </w:t>
      </w:r>
      <w:r>
        <w:t>leaf spot of hemp. A significant research effort is needed surrounding the breeding of resistant hemp varieties that are regionally adapted in addition to integrated pest management systems to control Septoria leaf spot.</w:t>
      </w:r>
    </w:p>
    <w:p w14:paraId="4313C9E3" w14:textId="77777777" w:rsidR="00343ABB" w:rsidRDefault="00343ABB">
      <w:pPr>
        <w:spacing w:line="259" w:lineRule="auto"/>
        <w:sectPr w:rsidR="00343ABB" w:rsidSect="00C12B24">
          <w:pgSz w:w="12240" w:h="15840"/>
          <w:pgMar w:top="740" w:right="620" w:bottom="280" w:left="880" w:header="720" w:footer="720" w:gutter="0"/>
          <w:cols w:num="2" w:space="720" w:equalWidth="0">
            <w:col w:w="4736" w:space="706"/>
            <w:col w:w="5298"/>
          </w:cols>
        </w:sectPr>
      </w:pPr>
    </w:p>
    <w:p w14:paraId="6934CED9" w14:textId="0D4F5CF0" w:rsidR="00343ABB" w:rsidRDefault="00F7002C" w:rsidP="00F7002C">
      <w:pPr>
        <w:pStyle w:val="ListParagraph"/>
        <w:tabs>
          <w:tab w:val="left" w:pos="676"/>
        </w:tabs>
        <w:spacing w:before="87" w:after="120" w:line="276" w:lineRule="auto"/>
        <w:ind w:left="0" w:firstLine="0"/>
      </w:pPr>
      <w:r>
        <w:lastRenderedPageBreak/>
        <w:t>1. Dixon,</w:t>
      </w:r>
      <w:r>
        <w:rPr>
          <w:spacing w:val="-15"/>
        </w:rPr>
        <w:t xml:space="preserve"> </w:t>
      </w:r>
      <w:r>
        <w:t>E.,</w:t>
      </w:r>
      <w:r>
        <w:rPr>
          <w:spacing w:val="-14"/>
        </w:rPr>
        <w:t xml:space="preserve"> </w:t>
      </w:r>
      <w:r>
        <w:t>Leonberger,</w:t>
      </w:r>
      <w:r>
        <w:rPr>
          <w:spacing w:val="-15"/>
        </w:rPr>
        <w:t xml:space="preserve"> </w:t>
      </w:r>
      <w:r>
        <w:t>K.,</w:t>
      </w:r>
      <w:r>
        <w:rPr>
          <w:spacing w:val="-14"/>
        </w:rPr>
        <w:t xml:space="preserve"> </w:t>
      </w:r>
      <w:r>
        <w:t>Szarka,</w:t>
      </w:r>
      <w:r>
        <w:rPr>
          <w:spacing w:val="-15"/>
        </w:rPr>
        <w:t xml:space="preserve"> </w:t>
      </w:r>
      <w:r>
        <w:t>D.,</w:t>
      </w:r>
      <w:r>
        <w:rPr>
          <w:spacing w:val="-14"/>
        </w:rPr>
        <w:t xml:space="preserve"> </w:t>
      </w:r>
      <w:r>
        <w:t>Amsden,</w:t>
      </w:r>
      <w:r>
        <w:rPr>
          <w:spacing w:val="-15"/>
        </w:rPr>
        <w:t xml:space="preserve"> </w:t>
      </w:r>
      <w:r>
        <w:t>B.,</w:t>
      </w:r>
      <w:r>
        <w:rPr>
          <w:spacing w:val="-14"/>
        </w:rPr>
        <w:t xml:space="preserve"> </w:t>
      </w:r>
      <w:r>
        <w:t>Smith,</w:t>
      </w:r>
      <w:r>
        <w:rPr>
          <w:spacing w:val="-15"/>
        </w:rPr>
        <w:t xml:space="preserve"> </w:t>
      </w:r>
      <w:r>
        <w:t>H.,</w:t>
      </w:r>
      <w:r>
        <w:rPr>
          <w:spacing w:val="-14"/>
        </w:rPr>
        <w:t xml:space="preserve"> </w:t>
      </w:r>
      <w:r>
        <w:t>Krause,</w:t>
      </w:r>
      <w:r>
        <w:rPr>
          <w:spacing w:val="-15"/>
        </w:rPr>
        <w:t xml:space="preserve"> </w:t>
      </w:r>
      <w:r>
        <w:t>M.,</w:t>
      </w:r>
      <w:r>
        <w:rPr>
          <w:spacing w:val="-14"/>
        </w:rPr>
        <w:t xml:space="preserve"> </w:t>
      </w:r>
      <w:r>
        <w:t>&amp;</w:t>
      </w:r>
      <w:r>
        <w:rPr>
          <w:spacing w:val="-15"/>
        </w:rPr>
        <w:t xml:space="preserve"> </w:t>
      </w:r>
      <w:r>
        <w:t>Gauthier,</w:t>
      </w:r>
      <w:r>
        <w:rPr>
          <w:spacing w:val="-14"/>
        </w:rPr>
        <w:t xml:space="preserve"> </w:t>
      </w:r>
      <w:r>
        <w:t xml:space="preserve">N. </w:t>
      </w:r>
      <w:r>
        <w:rPr>
          <w:spacing w:val="-2"/>
        </w:rPr>
        <w:t>(2022).</w:t>
      </w:r>
      <w:r>
        <w:rPr>
          <w:spacing w:val="-5"/>
        </w:rPr>
        <w:t xml:space="preserve"> </w:t>
      </w:r>
      <w:r>
        <w:rPr>
          <w:spacing w:val="-2"/>
        </w:rPr>
        <w:t>Prescreening</w:t>
      </w:r>
      <w:r>
        <w:rPr>
          <w:spacing w:val="-5"/>
        </w:rPr>
        <w:t xml:space="preserve"> </w:t>
      </w:r>
      <w:r>
        <w:rPr>
          <w:spacing w:val="-2"/>
        </w:rPr>
        <w:t>of</w:t>
      </w:r>
      <w:r>
        <w:rPr>
          <w:spacing w:val="-5"/>
        </w:rPr>
        <w:t xml:space="preserve"> </w:t>
      </w:r>
      <w:r>
        <w:rPr>
          <w:spacing w:val="-2"/>
        </w:rPr>
        <w:t>Biological</w:t>
      </w:r>
      <w:r>
        <w:rPr>
          <w:spacing w:val="-5"/>
        </w:rPr>
        <w:t xml:space="preserve"> </w:t>
      </w:r>
      <w:r>
        <w:rPr>
          <w:spacing w:val="-2"/>
        </w:rPr>
        <w:t>and</w:t>
      </w:r>
      <w:r>
        <w:rPr>
          <w:spacing w:val="-5"/>
        </w:rPr>
        <w:t xml:space="preserve"> </w:t>
      </w:r>
      <w:r>
        <w:rPr>
          <w:spacing w:val="-2"/>
        </w:rPr>
        <w:t>Biorational</w:t>
      </w:r>
      <w:r>
        <w:rPr>
          <w:spacing w:val="-5"/>
        </w:rPr>
        <w:t xml:space="preserve"> </w:t>
      </w:r>
      <w:r>
        <w:rPr>
          <w:spacing w:val="-2"/>
        </w:rPr>
        <w:t>Fungicides</w:t>
      </w:r>
      <w:r>
        <w:rPr>
          <w:spacing w:val="-5"/>
        </w:rPr>
        <w:t xml:space="preserve"> </w:t>
      </w:r>
      <w:r>
        <w:rPr>
          <w:spacing w:val="-2"/>
        </w:rPr>
        <w:t>Against</w:t>
      </w:r>
      <w:r>
        <w:rPr>
          <w:spacing w:val="-5"/>
        </w:rPr>
        <w:t xml:space="preserve"> </w:t>
      </w:r>
      <w:r>
        <w:rPr>
          <w:spacing w:val="-2"/>
        </w:rPr>
        <w:t>Common</w:t>
      </w:r>
      <w:r>
        <w:rPr>
          <w:spacing w:val="-5"/>
        </w:rPr>
        <w:t xml:space="preserve"> </w:t>
      </w:r>
      <w:r>
        <w:rPr>
          <w:spacing w:val="-2"/>
        </w:rPr>
        <w:t xml:space="preserve">Hemp </w:t>
      </w:r>
      <w:r>
        <w:t>Pathogens</w:t>
      </w:r>
      <w:r>
        <w:rPr>
          <w:spacing w:val="-6"/>
        </w:rPr>
        <w:t xml:space="preserve"> </w:t>
      </w:r>
      <w:r>
        <w:t>Using</w:t>
      </w:r>
      <w:r>
        <w:rPr>
          <w:spacing w:val="-6"/>
        </w:rPr>
        <w:t xml:space="preserve"> </w:t>
      </w:r>
      <w:r>
        <w:t>In</w:t>
      </w:r>
      <w:r>
        <w:rPr>
          <w:spacing w:val="-6"/>
        </w:rPr>
        <w:t xml:space="preserve"> </w:t>
      </w:r>
      <w:r>
        <w:t>Vitro</w:t>
      </w:r>
      <w:r>
        <w:rPr>
          <w:spacing w:val="-6"/>
        </w:rPr>
        <w:t xml:space="preserve"> </w:t>
      </w:r>
      <w:r>
        <w:t>Analyses.</w:t>
      </w:r>
      <w:r>
        <w:rPr>
          <w:spacing w:val="-6"/>
        </w:rPr>
        <w:t xml:space="preserve"> </w:t>
      </w:r>
      <w:r>
        <w:t>Plant</w:t>
      </w:r>
      <w:r>
        <w:rPr>
          <w:spacing w:val="-6"/>
        </w:rPr>
        <w:t xml:space="preserve"> </w:t>
      </w:r>
      <w:r>
        <w:t>Health</w:t>
      </w:r>
      <w:r>
        <w:rPr>
          <w:spacing w:val="-6"/>
        </w:rPr>
        <w:t xml:space="preserve"> </w:t>
      </w:r>
      <w:r>
        <w:t>Progress,</w:t>
      </w:r>
      <w:r>
        <w:rPr>
          <w:spacing w:val="-6"/>
        </w:rPr>
        <w:t xml:space="preserve"> </w:t>
      </w:r>
      <w:r>
        <w:t>23(3),</w:t>
      </w:r>
      <w:r>
        <w:rPr>
          <w:spacing w:val="-6"/>
        </w:rPr>
        <w:t xml:space="preserve"> </w:t>
      </w:r>
      <w:r>
        <w:t xml:space="preserve">250–255. </w:t>
      </w:r>
      <w:hyperlink r:id="rId10">
        <w:r>
          <w:rPr>
            <w:spacing w:val="-2"/>
          </w:rPr>
          <w:t>https://doi.org/10.1094/PHP-12-21-0143-SC</w:t>
        </w:r>
      </w:hyperlink>
    </w:p>
    <w:p w14:paraId="29F03C51" w14:textId="468D4312" w:rsidR="00343ABB" w:rsidRDefault="00F7002C" w:rsidP="00F7002C">
      <w:pPr>
        <w:pStyle w:val="ListParagraph"/>
        <w:tabs>
          <w:tab w:val="left" w:pos="676"/>
        </w:tabs>
        <w:spacing w:before="12" w:after="120" w:line="276" w:lineRule="auto"/>
        <w:ind w:left="0" w:firstLine="0"/>
      </w:pPr>
      <w:r>
        <w:rPr>
          <w:spacing w:val="-2"/>
        </w:rPr>
        <w:t>2. Barnett,</w:t>
      </w:r>
      <w:r>
        <w:rPr>
          <w:spacing w:val="-7"/>
        </w:rPr>
        <w:t xml:space="preserve"> </w:t>
      </w:r>
      <w:r>
        <w:rPr>
          <w:spacing w:val="-2"/>
        </w:rPr>
        <w:t>H.</w:t>
      </w:r>
      <w:r>
        <w:rPr>
          <w:spacing w:val="-7"/>
        </w:rPr>
        <w:t xml:space="preserve"> </w:t>
      </w:r>
      <w:r>
        <w:rPr>
          <w:spacing w:val="-2"/>
        </w:rPr>
        <w:t>L.,</w:t>
      </w:r>
      <w:r>
        <w:rPr>
          <w:spacing w:val="-7"/>
        </w:rPr>
        <w:t xml:space="preserve"> </w:t>
      </w:r>
      <w:r>
        <w:rPr>
          <w:spacing w:val="-2"/>
        </w:rPr>
        <w:t>&amp;</w:t>
      </w:r>
      <w:r>
        <w:rPr>
          <w:spacing w:val="-7"/>
        </w:rPr>
        <w:t xml:space="preserve"> </w:t>
      </w:r>
      <w:r>
        <w:rPr>
          <w:spacing w:val="-2"/>
        </w:rPr>
        <w:t>Hunter,</w:t>
      </w:r>
      <w:r>
        <w:rPr>
          <w:spacing w:val="-7"/>
        </w:rPr>
        <w:t xml:space="preserve"> </w:t>
      </w:r>
      <w:r>
        <w:rPr>
          <w:spacing w:val="-2"/>
        </w:rPr>
        <w:t>B.</w:t>
      </w:r>
      <w:r>
        <w:rPr>
          <w:spacing w:val="-7"/>
        </w:rPr>
        <w:t xml:space="preserve"> </w:t>
      </w:r>
      <w:r>
        <w:rPr>
          <w:spacing w:val="-2"/>
        </w:rPr>
        <w:t>B.</w:t>
      </w:r>
      <w:r>
        <w:rPr>
          <w:spacing w:val="-7"/>
        </w:rPr>
        <w:t xml:space="preserve"> </w:t>
      </w:r>
      <w:r>
        <w:rPr>
          <w:spacing w:val="-2"/>
        </w:rPr>
        <w:t>(1972).</w:t>
      </w:r>
      <w:r>
        <w:rPr>
          <w:spacing w:val="-7"/>
        </w:rPr>
        <w:t xml:space="preserve"> </w:t>
      </w:r>
      <w:r>
        <w:rPr>
          <w:spacing w:val="-2"/>
        </w:rPr>
        <w:t>Illustrated</w:t>
      </w:r>
      <w:r>
        <w:rPr>
          <w:spacing w:val="-7"/>
        </w:rPr>
        <w:t xml:space="preserve"> </w:t>
      </w:r>
      <w:r>
        <w:rPr>
          <w:spacing w:val="-2"/>
        </w:rPr>
        <w:t>genera</w:t>
      </w:r>
      <w:r>
        <w:rPr>
          <w:spacing w:val="-7"/>
        </w:rPr>
        <w:t xml:space="preserve"> </w:t>
      </w:r>
      <w:r>
        <w:rPr>
          <w:spacing w:val="-2"/>
        </w:rPr>
        <w:t>of</w:t>
      </w:r>
      <w:r>
        <w:rPr>
          <w:spacing w:val="-7"/>
        </w:rPr>
        <w:t xml:space="preserve"> </w:t>
      </w:r>
      <w:r>
        <w:rPr>
          <w:spacing w:val="-2"/>
        </w:rPr>
        <w:t>imperfect</w:t>
      </w:r>
      <w:r>
        <w:rPr>
          <w:spacing w:val="-7"/>
        </w:rPr>
        <w:t xml:space="preserve"> </w:t>
      </w:r>
      <w:r>
        <w:rPr>
          <w:spacing w:val="-2"/>
        </w:rPr>
        <w:t>fungi.</w:t>
      </w:r>
      <w:r>
        <w:rPr>
          <w:spacing w:val="-7"/>
        </w:rPr>
        <w:t xml:space="preserve"> </w:t>
      </w:r>
      <w:r>
        <w:rPr>
          <w:spacing w:val="-2"/>
        </w:rPr>
        <w:t xml:space="preserve">Illustrated </w:t>
      </w:r>
      <w:r>
        <w:t>genera of imperfect fungi., (3rd ed).</w:t>
      </w:r>
    </w:p>
    <w:p w14:paraId="70054325" w14:textId="77777777" w:rsidR="00F7002C" w:rsidRDefault="00F7002C" w:rsidP="00F7002C">
      <w:pPr>
        <w:pStyle w:val="ListParagraph"/>
        <w:tabs>
          <w:tab w:val="left" w:pos="676"/>
        </w:tabs>
        <w:spacing w:after="120" w:line="276" w:lineRule="auto"/>
        <w:ind w:left="0" w:firstLine="0"/>
      </w:pPr>
      <w:r>
        <w:t>3. Lyu,</w:t>
      </w:r>
      <w:r>
        <w:rPr>
          <w:spacing w:val="-6"/>
        </w:rPr>
        <w:t xml:space="preserve"> </w:t>
      </w:r>
      <w:r>
        <w:t>D.,</w:t>
      </w:r>
      <w:r>
        <w:rPr>
          <w:spacing w:val="-6"/>
        </w:rPr>
        <w:t xml:space="preserve"> </w:t>
      </w:r>
      <w:r>
        <w:t>Backer,</w:t>
      </w:r>
      <w:r>
        <w:rPr>
          <w:spacing w:val="-6"/>
        </w:rPr>
        <w:t xml:space="preserve"> </w:t>
      </w:r>
      <w:r>
        <w:t>R.,</w:t>
      </w:r>
      <w:r>
        <w:rPr>
          <w:spacing w:val="-6"/>
        </w:rPr>
        <w:t xml:space="preserve"> </w:t>
      </w:r>
      <w:r>
        <w:t>Robinson,</w:t>
      </w:r>
      <w:r>
        <w:rPr>
          <w:spacing w:val="-6"/>
        </w:rPr>
        <w:t xml:space="preserve"> </w:t>
      </w:r>
      <w:r>
        <w:t>W.</w:t>
      </w:r>
      <w:r>
        <w:rPr>
          <w:spacing w:val="-6"/>
        </w:rPr>
        <w:t xml:space="preserve"> </w:t>
      </w:r>
      <w:r>
        <w:t>G.,</w:t>
      </w:r>
      <w:r>
        <w:rPr>
          <w:spacing w:val="-6"/>
        </w:rPr>
        <w:t xml:space="preserve"> </w:t>
      </w:r>
      <w:r>
        <w:t>&amp;</w:t>
      </w:r>
      <w:r>
        <w:rPr>
          <w:spacing w:val="-4"/>
        </w:rPr>
        <w:t xml:space="preserve"> </w:t>
      </w:r>
      <w:r>
        <w:t>Smith,</w:t>
      </w:r>
      <w:r>
        <w:rPr>
          <w:spacing w:val="-6"/>
        </w:rPr>
        <w:t xml:space="preserve"> </w:t>
      </w:r>
      <w:r>
        <w:t>D.</w:t>
      </w:r>
      <w:r>
        <w:rPr>
          <w:spacing w:val="-6"/>
        </w:rPr>
        <w:t xml:space="preserve"> </w:t>
      </w:r>
      <w:r>
        <w:t>L.</w:t>
      </w:r>
      <w:r>
        <w:rPr>
          <w:spacing w:val="-6"/>
        </w:rPr>
        <w:t xml:space="preserve"> </w:t>
      </w:r>
      <w:r>
        <w:t>(2019).</w:t>
      </w:r>
      <w:r>
        <w:rPr>
          <w:spacing w:val="-6"/>
        </w:rPr>
        <w:t xml:space="preserve"> </w:t>
      </w:r>
      <w:r>
        <w:t>Plant</w:t>
      </w:r>
      <w:r>
        <w:rPr>
          <w:spacing w:val="-6"/>
        </w:rPr>
        <w:t xml:space="preserve"> </w:t>
      </w:r>
      <w:r>
        <w:t xml:space="preserve">growth-promoting </w:t>
      </w:r>
      <w:r>
        <w:rPr>
          <w:spacing w:val="-2"/>
        </w:rPr>
        <w:t>rhizobacteria</w:t>
      </w:r>
      <w:r>
        <w:rPr>
          <w:spacing w:val="-9"/>
        </w:rPr>
        <w:t xml:space="preserve"> </w:t>
      </w:r>
      <w:r>
        <w:rPr>
          <w:spacing w:val="-2"/>
        </w:rPr>
        <w:t>for</w:t>
      </w:r>
      <w:r>
        <w:rPr>
          <w:spacing w:val="-9"/>
        </w:rPr>
        <w:t xml:space="preserve"> </w:t>
      </w:r>
      <w:r>
        <w:rPr>
          <w:spacing w:val="-2"/>
        </w:rPr>
        <w:t>cannabis</w:t>
      </w:r>
      <w:r>
        <w:rPr>
          <w:spacing w:val="-9"/>
        </w:rPr>
        <w:t xml:space="preserve"> </w:t>
      </w:r>
      <w:r>
        <w:rPr>
          <w:spacing w:val="-2"/>
        </w:rPr>
        <w:t>production:</w:t>
      </w:r>
      <w:r>
        <w:rPr>
          <w:spacing w:val="-9"/>
        </w:rPr>
        <w:t xml:space="preserve"> </w:t>
      </w:r>
      <w:r>
        <w:rPr>
          <w:spacing w:val="-2"/>
        </w:rPr>
        <w:t>yield,</w:t>
      </w:r>
      <w:r>
        <w:rPr>
          <w:spacing w:val="-9"/>
        </w:rPr>
        <w:t xml:space="preserve"> </w:t>
      </w:r>
      <w:r>
        <w:rPr>
          <w:spacing w:val="-2"/>
        </w:rPr>
        <w:t>cannabinoid</w:t>
      </w:r>
      <w:r>
        <w:rPr>
          <w:spacing w:val="-9"/>
        </w:rPr>
        <w:t xml:space="preserve"> </w:t>
      </w:r>
      <w:r>
        <w:rPr>
          <w:spacing w:val="-2"/>
        </w:rPr>
        <w:t>profile</w:t>
      </w:r>
      <w:r>
        <w:rPr>
          <w:spacing w:val="-9"/>
        </w:rPr>
        <w:t xml:space="preserve"> </w:t>
      </w:r>
      <w:r>
        <w:rPr>
          <w:spacing w:val="-2"/>
        </w:rPr>
        <w:t>and</w:t>
      </w:r>
      <w:r>
        <w:rPr>
          <w:spacing w:val="-9"/>
        </w:rPr>
        <w:t xml:space="preserve"> </w:t>
      </w:r>
      <w:r>
        <w:rPr>
          <w:spacing w:val="-2"/>
        </w:rPr>
        <w:t>disease</w:t>
      </w:r>
      <w:r>
        <w:rPr>
          <w:spacing w:val="-9"/>
        </w:rPr>
        <w:t xml:space="preserve"> </w:t>
      </w:r>
      <w:r>
        <w:rPr>
          <w:spacing w:val="-2"/>
        </w:rPr>
        <w:t xml:space="preserve">resistance. </w:t>
      </w:r>
      <w:r>
        <w:t>Frontiers in microbiology, 1761.</w:t>
      </w:r>
    </w:p>
    <w:p w14:paraId="68F7813B" w14:textId="77777777" w:rsidR="00F7002C" w:rsidRDefault="00F7002C" w:rsidP="00F7002C">
      <w:pPr>
        <w:pStyle w:val="ListParagraph"/>
        <w:tabs>
          <w:tab w:val="left" w:pos="676"/>
        </w:tabs>
        <w:spacing w:after="120" w:line="276" w:lineRule="auto"/>
        <w:ind w:left="0" w:firstLine="0"/>
      </w:pPr>
      <w:r>
        <w:t xml:space="preserve">4. </w:t>
      </w:r>
      <w:proofErr w:type="spellStart"/>
      <w:r>
        <w:t>McEno</w:t>
      </w:r>
      <w:proofErr w:type="spellEnd"/>
      <w:r>
        <w:t xml:space="preserve">, J. (1998). Cannabis ecology. AMRITA Press. </w:t>
      </w:r>
      <w:hyperlink r:id="rId11">
        <w:r>
          <w:rPr>
            <w:spacing w:val="-4"/>
          </w:rPr>
          <w:t>https://scholar.google.com/scholar_lookup?title=Cannabis+ecology&amp;author=McEno%2</w:t>
        </w:r>
      </w:hyperlink>
      <w:r>
        <w:rPr>
          <w:spacing w:val="-4"/>
        </w:rPr>
        <w:t xml:space="preserve"> </w:t>
      </w:r>
      <w:proofErr w:type="spellStart"/>
      <w:r>
        <w:rPr>
          <w:spacing w:val="-2"/>
        </w:rPr>
        <w:t>C+</w:t>
      </w:r>
      <w:proofErr w:type="gramStart"/>
      <w:r>
        <w:rPr>
          <w:spacing w:val="-2"/>
        </w:rPr>
        <w:t>John</w:t>
      </w:r>
      <w:proofErr w:type="spellEnd"/>
      <w:r>
        <w:rPr>
          <w:spacing w:val="-2"/>
        </w:rPr>
        <w:t>.&amp;</w:t>
      </w:r>
      <w:proofErr w:type="spellStart"/>
      <w:proofErr w:type="gramEnd"/>
      <w:r>
        <w:rPr>
          <w:spacing w:val="-2"/>
        </w:rPr>
        <w:t>publication_year</w:t>
      </w:r>
      <w:proofErr w:type="spellEnd"/>
      <w:r>
        <w:rPr>
          <w:spacing w:val="-2"/>
        </w:rPr>
        <w:t>=1998</w:t>
      </w:r>
    </w:p>
    <w:p w14:paraId="6D551458" w14:textId="77777777" w:rsidR="00F7002C" w:rsidRDefault="00F7002C" w:rsidP="00F7002C">
      <w:pPr>
        <w:pStyle w:val="ListParagraph"/>
        <w:tabs>
          <w:tab w:val="left" w:pos="676"/>
        </w:tabs>
        <w:spacing w:after="120" w:line="276" w:lineRule="auto"/>
        <w:ind w:left="0" w:firstLine="0"/>
      </w:pPr>
      <w:r>
        <w:t>5. McPartland,</w:t>
      </w:r>
      <w:r w:rsidRPr="00F7002C">
        <w:rPr>
          <w:spacing w:val="-15"/>
        </w:rPr>
        <w:t xml:space="preserve"> </w:t>
      </w:r>
      <w:r>
        <w:t>J.</w:t>
      </w:r>
      <w:r w:rsidRPr="00F7002C">
        <w:rPr>
          <w:spacing w:val="-14"/>
        </w:rPr>
        <w:t xml:space="preserve"> </w:t>
      </w:r>
      <w:r>
        <w:t>M.,</w:t>
      </w:r>
      <w:r w:rsidRPr="00F7002C">
        <w:rPr>
          <w:spacing w:val="-15"/>
        </w:rPr>
        <w:t xml:space="preserve"> </w:t>
      </w:r>
      <w:r>
        <w:t>Clarke,</w:t>
      </w:r>
      <w:r w:rsidRPr="00F7002C">
        <w:rPr>
          <w:spacing w:val="-14"/>
        </w:rPr>
        <w:t xml:space="preserve"> </w:t>
      </w:r>
      <w:r>
        <w:t>R.</w:t>
      </w:r>
      <w:r w:rsidRPr="00F7002C">
        <w:rPr>
          <w:spacing w:val="-15"/>
        </w:rPr>
        <w:t xml:space="preserve"> </w:t>
      </w:r>
      <w:r>
        <w:t>C.,</w:t>
      </w:r>
      <w:r w:rsidRPr="00F7002C">
        <w:rPr>
          <w:spacing w:val="-14"/>
        </w:rPr>
        <w:t xml:space="preserve"> </w:t>
      </w:r>
      <w:r>
        <w:t>&amp;</w:t>
      </w:r>
      <w:r w:rsidRPr="00F7002C">
        <w:rPr>
          <w:spacing w:val="-15"/>
        </w:rPr>
        <w:t xml:space="preserve"> </w:t>
      </w:r>
      <w:r>
        <w:t>Watson,</w:t>
      </w:r>
      <w:r w:rsidRPr="00F7002C">
        <w:rPr>
          <w:spacing w:val="-14"/>
        </w:rPr>
        <w:t xml:space="preserve"> </w:t>
      </w:r>
      <w:r>
        <w:t>D.</w:t>
      </w:r>
      <w:r w:rsidRPr="00F7002C">
        <w:rPr>
          <w:spacing w:val="-15"/>
        </w:rPr>
        <w:t xml:space="preserve"> </w:t>
      </w:r>
      <w:r>
        <w:t>P.</w:t>
      </w:r>
      <w:r w:rsidRPr="00F7002C">
        <w:rPr>
          <w:spacing w:val="-14"/>
        </w:rPr>
        <w:t xml:space="preserve"> </w:t>
      </w:r>
      <w:r>
        <w:t>(2000).</w:t>
      </w:r>
      <w:r w:rsidRPr="00F7002C">
        <w:rPr>
          <w:spacing w:val="-15"/>
        </w:rPr>
        <w:t xml:space="preserve"> </w:t>
      </w:r>
      <w:r>
        <w:t>Hemp</w:t>
      </w:r>
      <w:r w:rsidRPr="00F7002C">
        <w:rPr>
          <w:spacing w:val="-14"/>
        </w:rPr>
        <w:t xml:space="preserve"> </w:t>
      </w:r>
      <w:r>
        <w:t>diseases</w:t>
      </w:r>
      <w:r w:rsidRPr="00F7002C">
        <w:rPr>
          <w:spacing w:val="-15"/>
        </w:rPr>
        <w:t xml:space="preserve"> </w:t>
      </w:r>
      <w:r>
        <w:t>and</w:t>
      </w:r>
      <w:r w:rsidRPr="00F7002C">
        <w:rPr>
          <w:spacing w:val="-14"/>
        </w:rPr>
        <w:t xml:space="preserve"> </w:t>
      </w:r>
      <w:r>
        <w:t>pests: management</w:t>
      </w:r>
      <w:r w:rsidRPr="00F7002C">
        <w:rPr>
          <w:spacing w:val="-3"/>
        </w:rPr>
        <w:t xml:space="preserve"> </w:t>
      </w:r>
      <w:r>
        <w:t>and</w:t>
      </w:r>
      <w:r w:rsidRPr="00F7002C">
        <w:rPr>
          <w:spacing w:val="-3"/>
        </w:rPr>
        <w:t xml:space="preserve"> </w:t>
      </w:r>
      <w:r>
        <w:t>biological</w:t>
      </w:r>
      <w:r w:rsidRPr="00F7002C">
        <w:rPr>
          <w:spacing w:val="-3"/>
        </w:rPr>
        <w:t xml:space="preserve"> </w:t>
      </w:r>
      <w:r>
        <w:t>control:</w:t>
      </w:r>
      <w:r w:rsidRPr="00F7002C">
        <w:rPr>
          <w:spacing w:val="-3"/>
        </w:rPr>
        <w:t xml:space="preserve"> </w:t>
      </w:r>
      <w:r>
        <w:t>an</w:t>
      </w:r>
      <w:r w:rsidRPr="00F7002C">
        <w:rPr>
          <w:spacing w:val="-3"/>
        </w:rPr>
        <w:t xml:space="preserve"> </w:t>
      </w:r>
      <w:r>
        <w:t>advanced</w:t>
      </w:r>
      <w:r w:rsidRPr="00F7002C">
        <w:rPr>
          <w:spacing w:val="-3"/>
        </w:rPr>
        <w:t xml:space="preserve"> </w:t>
      </w:r>
      <w:r>
        <w:t>treatise.</w:t>
      </w:r>
      <w:r w:rsidRPr="00F7002C">
        <w:rPr>
          <w:spacing w:val="-3"/>
        </w:rPr>
        <w:t xml:space="preserve"> </w:t>
      </w:r>
      <w:r>
        <w:t>CABI.</w:t>
      </w:r>
    </w:p>
    <w:p w14:paraId="1170FF7A" w14:textId="77777777" w:rsidR="00F7002C" w:rsidRDefault="00F7002C" w:rsidP="00F7002C">
      <w:pPr>
        <w:pStyle w:val="ListParagraph"/>
        <w:tabs>
          <w:tab w:val="left" w:pos="677"/>
        </w:tabs>
        <w:spacing w:after="120" w:line="276" w:lineRule="auto"/>
        <w:ind w:left="0" w:firstLine="0"/>
      </w:pPr>
      <w:r>
        <w:t>6. Rahnama, M., Szarka, D., Li, H., Dixon, E., Castlebury, L., &amp; Ward Gauthier, N. A. (2021). Reemergence</w:t>
      </w:r>
      <w:r>
        <w:rPr>
          <w:spacing w:val="-1"/>
        </w:rPr>
        <w:t xml:space="preserve"> </w:t>
      </w:r>
      <w:r>
        <w:t>of</w:t>
      </w:r>
      <w:r>
        <w:rPr>
          <w:spacing w:val="-1"/>
        </w:rPr>
        <w:t xml:space="preserve"> </w:t>
      </w:r>
      <w:r>
        <w:t>Septoria</w:t>
      </w:r>
      <w:r>
        <w:rPr>
          <w:spacing w:val="-2"/>
        </w:rPr>
        <w:t xml:space="preserve"> </w:t>
      </w:r>
      <w:r>
        <w:t>Leaf</w:t>
      </w:r>
      <w:r>
        <w:rPr>
          <w:spacing w:val="-1"/>
        </w:rPr>
        <w:t xml:space="preserve"> </w:t>
      </w:r>
      <w:r>
        <w:t>Spot</w:t>
      </w:r>
      <w:r>
        <w:rPr>
          <w:spacing w:val="-2"/>
        </w:rPr>
        <w:t xml:space="preserve"> </w:t>
      </w:r>
      <w:r>
        <w:t>Caused</w:t>
      </w:r>
      <w:r>
        <w:rPr>
          <w:spacing w:val="-2"/>
        </w:rPr>
        <w:t xml:space="preserve"> </w:t>
      </w:r>
      <w:r>
        <w:t>by</w:t>
      </w:r>
      <w:r>
        <w:rPr>
          <w:spacing w:val="-1"/>
        </w:rPr>
        <w:t xml:space="preserve"> </w:t>
      </w:r>
      <w:r>
        <w:t>Septoria</w:t>
      </w:r>
      <w:r>
        <w:rPr>
          <w:spacing w:val="-2"/>
        </w:rPr>
        <w:t xml:space="preserve"> </w:t>
      </w:r>
      <w:r>
        <w:t>cannabis</w:t>
      </w:r>
      <w:r>
        <w:rPr>
          <w:spacing w:val="-1"/>
        </w:rPr>
        <w:t xml:space="preserve"> </w:t>
      </w:r>
      <w:r>
        <w:t>on</w:t>
      </w:r>
      <w:r>
        <w:rPr>
          <w:spacing w:val="-1"/>
        </w:rPr>
        <w:t xml:space="preserve"> </w:t>
      </w:r>
      <w:r>
        <w:t>Hemp</w:t>
      </w:r>
      <w:r>
        <w:rPr>
          <w:spacing w:val="-2"/>
        </w:rPr>
        <w:t xml:space="preserve"> </w:t>
      </w:r>
      <w:r>
        <w:t>in</w:t>
      </w:r>
      <w:r>
        <w:rPr>
          <w:spacing w:val="-1"/>
        </w:rPr>
        <w:t xml:space="preserve"> </w:t>
      </w:r>
      <w:r>
        <w:t xml:space="preserve">Kentucky. Plant Disease, 105(9), 2286–2289. </w:t>
      </w:r>
      <w:hyperlink r:id="rId12">
        <w:r>
          <w:t>https://doi.org/10.1094/PDIS-12-20-2620-SC</w:t>
        </w:r>
      </w:hyperlink>
    </w:p>
    <w:p w14:paraId="4688793B" w14:textId="77777777" w:rsidR="00F7002C" w:rsidRDefault="00F7002C" w:rsidP="00F7002C">
      <w:pPr>
        <w:pStyle w:val="ListParagraph"/>
        <w:tabs>
          <w:tab w:val="left" w:pos="676"/>
        </w:tabs>
        <w:spacing w:after="120" w:line="276" w:lineRule="auto"/>
        <w:ind w:left="0" w:firstLine="0"/>
      </w:pPr>
      <w:r>
        <w:t xml:space="preserve">7. </w:t>
      </w:r>
      <w:proofErr w:type="spellStart"/>
      <w:r>
        <w:t>Quaedvlieg</w:t>
      </w:r>
      <w:proofErr w:type="spellEnd"/>
      <w:r>
        <w:t xml:space="preserve">, W. G. J. M., </w:t>
      </w:r>
      <w:proofErr w:type="spellStart"/>
      <w:r>
        <w:t>Verkley</w:t>
      </w:r>
      <w:proofErr w:type="spellEnd"/>
      <w:r>
        <w:t>, G. J. M., Shin, H. D.,</w:t>
      </w:r>
      <w:r>
        <w:rPr>
          <w:spacing w:val="1"/>
        </w:rPr>
        <w:t xml:space="preserve"> </w:t>
      </w:r>
      <w:r>
        <w:t xml:space="preserve">Barreto, R. W., </w:t>
      </w:r>
      <w:proofErr w:type="spellStart"/>
      <w:r>
        <w:t>Alfenas</w:t>
      </w:r>
      <w:proofErr w:type="spellEnd"/>
      <w:r>
        <w:t xml:space="preserve">, A. </w:t>
      </w:r>
      <w:r>
        <w:rPr>
          <w:spacing w:val="-5"/>
        </w:rPr>
        <w:t xml:space="preserve">C., </w:t>
      </w:r>
      <w:r>
        <w:t xml:space="preserve">Swart, W. J., ... &amp; Crous, P. W. (2006). Sizing up </w:t>
      </w:r>
      <w:proofErr w:type="spellStart"/>
      <w:r>
        <w:t>septoria</w:t>
      </w:r>
      <w:proofErr w:type="spellEnd"/>
      <w:r>
        <w:t>. Studies in mycology, 55(1), vi-</w:t>
      </w:r>
      <w:r>
        <w:rPr>
          <w:spacing w:val="-5"/>
        </w:rPr>
        <w:t>vi.</w:t>
      </w:r>
    </w:p>
    <w:p w14:paraId="401CB12A" w14:textId="77777777" w:rsidR="00F7002C" w:rsidRDefault="00F7002C" w:rsidP="00F7002C">
      <w:pPr>
        <w:pStyle w:val="ListParagraph"/>
        <w:tabs>
          <w:tab w:val="left" w:pos="677"/>
        </w:tabs>
        <w:spacing w:after="120" w:line="276" w:lineRule="auto"/>
        <w:ind w:left="0" w:firstLine="0"/>
      </w:pPr>
      <w:r>
        <w:t xml:space="preserve">8. </w:t>
      </w:r>
      <w:proofErr w:type="spellStart"/>
      <w:r>
        <w:t>Verkley</w:t>
      </w:r>
      <w:proofErr w:type="spellEnd"/>
      <w:r>
        <w:t xml:space="preserve">, G. J. M., </w:t>
      </w:r>
      <w:proofErr w:type="spellStart"/>
      <w:r>
        <w:t>Quaedvlieg</w:t>
      </w:r>
      <w:proofErr w:type="spellEnd"/>
      <w:r>
        <w:t>, W., Shin, H.-D., &amp; Crous, P. W. (2013). A new approach to species delimitation</w:t>
      </w:r>
      <w:r>
        <w:rPr>
          <w:spacing w:val="-8"/>
        </w:rPr>
        <w:t xml:space="preserve"> </w:t>
      </w:r>
      <w:r>
        <w:t>in</w:t>
      </w:r>
      <w:r>
        <w:rPr>
          <w:spacing w:val="-8"/>
        </w:rPr>
        <w:t xml:space="preserve"> </w:t>
      </w:r>
      <w:r>
        <w:t>Septoria.</w:t>
      </w:r>
      <w:r>
        <w:rPr>
          <w:spacing w:val="-8"/>
        </w:rPr>
        <w:t xml:space="preserve"> </w:t>
      </w:r>
      <w:r>
        <w:t>Studies</w:t>
      </w:r>
      <w:r>
        <w:rPr>
          <w:spacing w:val="-8"/>
        </w:rPr>
        <w:t xml:space="preserve"> </w:t>
      </w:r>
      <w:r>
        <w:t>in</w:t>
      </w:r>
      <w:r>
        <w:rPr>
          <w:spacing w:val="-8"/>
        </w:rPr>
        <w:t xml:space="preserve"> </w:t>
      </w:r>
      <w:r>
        <w:t>Mycology,</w:t>
      </w:r>
      <w:r>
        <w:rPr>
          <w:spacing w:val="-8"/>
        </w:rPr>
        <w:t xml:space="preserve"> </w:t>
      </w:r>
      <w:r>
        <w:t>75(1),</w:t>
      </w:r>
      <w:r>
        <w:rPr>
          <w:spacing w:val="-8"/>
        </w:rPr>
        <w:t xml:space="preserve"> </w:t>
      </w:r>
      <w:r>
        <w:t>213–305.</w:t>
      </w:r>
      <w:r>
        <w:rPr>
          <w:spacing w:val="-8"/>
        </w:rPr>
        <w:t xml:space="preserve"> </w:t>
      </w:r>
      <w:hyperlink r:id="rId13">
        <w:r>
          <w:t>https://doi.org/10.3114/sim0018</w:t>
        </w:r>
      </w:hyperlink>
    </w:p>
    <w:p w14:paraId="43296A38" w14:textId="77777777" w:rsidR="00F7002C" w:rsidRDefault="00F7002C" w:rsidP="00F7002C">
      <w:pPr>
        <w:pStyle w:val="ListParagraph"/>
        <w:tabs>
          <w:tab w:val="left" w:pos="677"/>
        </w:tabs>
        <w:spacing w:after="120" w:line="276" w:lineRule="auto"/>
        <w:ind w:left="0" w:firstLine="0"/>
        <w:rPr>
          <w:spacing w:val="-5"/>
        </w:rPr>
      </w:pPr>
      <w:r>
        <w:t xml:space="preserve">9. </w:t>
      </w:r>
      <w:proofErr w:type="spellStart"/>
      <w:r>
        <w:t>Zuefle</w:t>
      </w:r>
      <w:proofErr w:type="spellEnd"/>
      <w:r>
        <w:t>,</w:t>
      </w:r>
      <w:r>
        <w:rPr>
          <w:spacing w:val="-11"/>
        </w:rPr>
        <w:t xml:space="preserve"> </w:t>
      </w:r>
      <w:r>
        <w:t>M.E.</w:t>
      </w:r>
      <w:r>
        <w:rPr>
          <w:spacing w:val="-11"/>
        </w:rPr>
        <w:t xml:space="preserve"> </w:t>
      </w:r>
      <w:r>
        <w:t>2022.</w:t>
      </w:r>
      <w:r>
        <w:rPr>
          <w:spacing w:val="-10"/>
        </w:rPr>
        <w:t xml:space="preserve"> </w:t>
      </w:r>
      <w:r>
        <w:t>Hemp</w:t>
      </w:r>
      <w:r>
        <w:rPr>
          <w:spacing w:val="-11"/>
        </w:rPr>
        <w:t xml:space="preserve"> </w:t>
      </w:r>
      <w:r>
        <w:t>Pest</w:t>
      </w:r>
      <w:r>
        <w:rPr>
          <w:spacing w:val="-11"/>
        </w:rPr>
        <w:t xml:space="preserve"> </w:t>
      </w:r>
      <w:r>
        <w:t>Survey</w:t>
      </w:r>
      <w:r>
        <w:rPr>
          <w:spacing w:val="-10"/>
        </w:rPr>
        <w:t xml:space="preserve"> </w:t>
      </w:r>
      <w:r>
        <w:t>2021.</w:t>
      </w:r>
      <w:r>
        <w:rPr>
          <w:spacing w:val="-11"/>
        </w:rPr>
        <w:t xml:space="preserve"> </w:t>
      </w:r>
      <w:r>
        <w:t>NYS</w:t>
      </w:r>
      <w:r>
        <w:rPr>
          <w:spacing w:val="-11"/>
        </w:rPr>
        <w:t xml:space="preserve"> </w:t>
      </w:r>
      <w:r>
        <w:t>IPM</w:t>
      </w:r>
      <w:r>
        <w:rPr>
          <w:spacing w:val="-9"/>
        </w:rPr>
        <w:t xml:space="preserve"> </w:t>
      </w:r>
      <w:r>
        <w:t>project</w:t>
      </w:r>
      <w:r>
        <w:rPr>
          <w:spacing w:val="-11"/>
        </w:rPr>
        <w:t xml:space="preserve"> </w:t>
      </w:r>
      <w:r>
        <w:t>report.</w:t>
      </w:r>
      <w:r>
        <w:rPr>
          <w:spacing w:val="-11"/>
        </w:rPr>
        <w:t xml:space="preserve"> </w:t>
      </w:r>
      <w:r>
        <w:t>August</w:t>
      </w:r>
      <w:r>
        <w:rPr>
          <w:spacing w:val="-10"/>
        </w:rPr>
        <w:t xml:space="preserve"> </w:t>
      </w:r>
      <w:r>
        <w:t>9,</w:t>
      </w:r>
      <w:r>
        <w:rPr>
          <w:spacing w:val="-11"/>
        </w:rPr>
        <w:t xml:space="preserve"> </w:t>
      </w:r>
      <w:r>
        <w:t>2021.</w:t>
      </w:r>
      <w:r>
        <w:rPr>
          <w:spacing w:val="-10"/>
        </w:rPr>
        <w:t xml:space="preserve"> </w:t>
      </w:r>
      <w:r>
        <w:rPr>
          <w:spacing w:val="-5"/>
        </w:rPr>
        <w:t>Web</w:t>
      </w:r>
    </w:p>
    <w:p w14:paraId="5C9E3D14" w14:textId="3CF4487C" w:rsidR="00343ABB" w:rsidRDefault="00F7002C" w:rsidP="00F7002C">
      <w:pPr>
        <w:pStyle w:val="ListParagraph"/>
        <w:tabs>
          <w:tab w:val="left" w:pos="677"/>
        </w:tabs>
        <w:spacing w:after="120" w:line="276" w:lineRule="auto"/>
        <w:ind w:left="0" w:firstLine="0"/>
      </w:pPr>
      <w:r>
        <w:rPr>
          <w:spacing w:val="-5"/>
        </w:rPr>
        <w:t xml:space="preserve">10. </w:t>
      </w:r>
      <w:proofErr w:type="spellStart"/>
      <w:r>
        <w:t>Zuefle</w:t>
      </w:r>
      <w:proofErr w:type="spellEnd"/>
      <w:r>
        <w:t>,</w:t>
      </w:r>
      <w:r w:rsidRPr="00F7002C">
        <w:rPr>
          <w:spacing w:val="-9"/>
        </w:rPr>
        <w:t xml:space="preserve"> </w:t>
      </w:r>
      <w:r>
        <w:t>M.E.</w:t>
      </w:r>
      <w:r w:rsidRPr="00F7002C">
        <w:rPr>
          <w:spacing w:val="-7"/>
        </w:rPr>
        <w:t xml:space="preserve"> </w:t>
      </w:r>
      <w:r>
        <w:t>2021.</w:t>
      </w:r>
      <w:r w:rsidRPr="00F7002C">
        <w:rPr>
          <w:spacing w:val="-7"/>
        </w:rPr>
        <w:t xml:space="preserve"> </w:t>
      </w:r>
      <w:r>
        <w:t>Hemp</w:t>
      </w:r>
      <w:r w:rsidRPr="00F7002C">
        <w:rPr>
          <w:spacing w:val="-8"/>
        </w:rPr>
        <w:t xml:space="preserve"> </w:t>
      </w:r>
      <w:r>
        <w:t>Pest</w:t>
      </w:r>
      <w:r w:rsidRPr="00F7002C">
        <w:rPr>
          <w:spacing w:val="-7"/>
        </w:rPr>
        <w:t xml:space="preserve"> </w:t>
      </w:r>
      <w:r>
        <w:t>Survey</w:t>
      </w:r>
      <w:r w:rsidRPr="00F7002C">
        <w:rPr>
          <w:spacing w:val="-7"/>
        </w:rPr>
        <w:t xml:space="preserve"> </w:t>
      </w:r>
      <w:r>
        <w:t>2020.</w:t>
      </w:r>
      <w:r w:rsidRPr="00F7002C">
        <w:rPr>
          <w:spacing w:val="-7"/>
        </w:rPr>
        <w:t xml:space="preserve"> </w:t>
      </w:r>
      <w:r>
        <w:t>NYS</w:t>
      </w:r>
      <w:r w:rsidRPr="00F7002C">
        <w:rPr>
          <w:spacing w:val="-7"/>
        </w:rPr>
        <w:t xml:space="preserve"> </w:t>
      </w:r>
      <w:r>
        <w:t>IPM</w:t>
      </w:r>
      <w:r w:rsidRPr="00F7002C">
        <w:rPr>
          <w:spacing w:val="-6"/>
        </w:rPr>
        <w:t xml:space="preserve"> </w:t>
      </w:r>
      <w:r>
        <w:t>project</w:t>
      </w:r>
      <w:r w:rsidRPr="00F7002C">
        <w:rPr>
          <w:spacing w:val="-8"/>
        </w:rPr>
        <w:t xml:space="preserve"> </w:t>
      </w:r>
      <w:r>
        <w:t>report.</w:t>
      </w:r>
      <w:r w:rsidRPr="00F7002C">
        <w:rPr>
          <w:spacing w:val="-7"/>
        </w:rPr>
        <w:t xml:space="preserve"> </w:t>
      </w:r>
      <w:r>
        <w:t>August</w:t>
      </w:r>
      <w:r w:rsidRPr="00F7002C">
        <w:rPr>
          <w:spacing w:val="-5"/>
        </w:rPr>
        <w:t xml:space="preserve"> </w:t>
      </w:r>
      <w:r>
        <w:t>9,</w:t>
      </w:r>
      <w:r w:rsidRPr="00F7002C">
        <w:rPr>
          <w:spacing w:val="-7"/>
        </w:rPr>
        <w:t xml:space="preserve"> </w:t>
      </w:r>
      <w:r>
        <w:t>2021.</w:t>
      </w:r>
      <w:r w:rsidRPr="00F7002C">
        <w:rPr>
          <w:spacing w:val="-6"/>
        </w:rPr>
        <w:t xml:space="preserve"> </w:t>
      </w:r>
      <w:r w:rsidRPr="00F7002C">
        <w:rPr>
          <w:spacing w:val="-4"/>
        </w:rPr>
        <w:t>Web.</w:t>
      </w:r>
    </w:p>
    <w:p w14:paraId="3D9A0DDE" w14:textId="77777777" w:rsidR="00343ABB" w:rsidRDefault="00343ABB" w:rsidP="00F7002C">
      <w:pPr>
        <w:pStyle w:val="BodyText"/>
        <w:spacing w:after="120"/>
      </w:pPr>
    </w:p>
    <w:p w14:paraId="4CFF1C21" w14:textId="77777777" w:rsidR="00F7002C" w:rsidRDefault="00000000" w:rsidP="00F7002C">
      <w:pPr>
        <w:spacing w:after="240"/>
        <w:rPr>
          <w:spacing w:val="-4"/>
        </w:rPr>
      </w:pPr>
      <w:r>
        <w:rPr>
          <w:rFonts w:ascii="Work Sans"/>
          <w:b/>
          <w:sz w:val="28"/>
        </w:rPr>
        <w:t>Prepared by</w:t>
      </w:r>
      <w:r>
        <w:rPr>
          <w:rFonts w:ascii="Work Sans"/>
          <w:b/>
          <w:spacing w:val="-2"/>
          <w:sz w:val="28"/>
        </w:rPr>
        <w:t xml:space="preserve"> </w:t>
      </w:r>
      <w:r w:rsidRPr="00F7002C">
        <w:t>Jocelyn</w:t>
      </w:r>
      <w:r w:rsidRPr="00F7002C">
        <w:rPr>
          <w:spacing w:val="-1"/>
        </w:rPr>
        <w:t xml:space="preserve"> </w:t>
      </w:r>
      <w:r w:rsidRPr="00F7002C">
        <w:t>Schwartz,</w:t>
      </w:r>
      <w:r w:rsidRPr="00F7002C">
        <w:rPr>
          <w:spacing w:val="-1"/>
        </w:rPr>
        <w:t xml:space="preserve"> </w:t>
      </w:r>
      <w:r w:rsidRPr="00F7002C">
        <w:t>December</w:t>
      </w:r>
      <w:r w:rsidRPr="00F7002C">
        <w:rPr>
          <w:spacing w:val="-1"/>
        </w:rPr>
        <w:t xml:space="preserve"> </w:t>
      </w:r>
      <w:r w:rsidRPr="00F7002C">
        <w:rPr>
          <w:spacing w:val="-4"/>
        </w:rPr>
        <w:t>2022</w:t>
      </w:r>
    </w:p>
    <w:p w14:paraId="08601B0E" w14:textId="77777777" w:rsidR="00F7002C" w:rsidRDefault="00000000" w:rsidP="00F7002C">
      <w:pPr>
        <w:spacing w:after="120"/>
        <w:rPr>
          <w:rFonts w:ascii="Work Sans"/>
          <w:sz w:val="28"/>
        </w:rPr>
      </w:pPr>
      <w:r w:rsidRPr="00F7002C">
        <w:rPr>
          <w:b/>
          <w:bCs/>
        </w:rPr>
        <w:t>READ THE LABEL BEFORE APPLYING ANY PESTICIDE!</w:t>
      </w:r>
      <w:r>
        <w:t xml:space="preserve"> Changes in pesticide regulations occur constantly. All pesticides distributed, sold, and/or applied in New York State must be registered with the New York State Department of Environmental Conservation (DEC). Questions concerning the legality and/or registration status for pesticide use in New York State should be directed</w:t>
      </w:r>
      <w:r>
        <w:rPr>
          <w:spacing w:val="-4"/>
        </w:rPr>
        <w:t xml:space="preserve"> </w:t>
      </w:r>
      <w:r>
        <w:t>to</w:t>
      </w:r>
      <w:r>
        <w:rPr>
          <w:spacing w:val="-4"/>
        </w:rPr>
        <w:t xml:space="preserve"> </w:t>
      </w:r>
      <w:r>
        <w:t>the</w:t>
      </w:r>
      <w:r>
        <w:rPr>
          <w:spacing w:val="-4"/>
        </w:rPr>
        <w:t xml:space="preserve"> </w:t>
      </w:r>
      <w:r>
        <w:t>appropriate</w:t>
      </w:r>
      <w:r>
        <w:rPr>
          <w:spacing w:val="-4"/>
        </w:rPr>
        <w:t xml:space="preserve"> </w:t>
      </w:r>
      <w:r>
        <w:t>Cornell</w:t>
      </w:r>
      <w:r>
        <w:rPr>
          <w:spacing w:val="-4"/>
        </w:rPr>
        <w:t xml:space="preserve"> </w:t>
      </w:r>
      <w:r>
        <w:t>Cooperative</w:t>
      </w:r>
      <w:r>
        <w:rPr>
          <w:spacing w:val="-4"/>
        </w:rPr>
        <w:t xml:space="preserve"> </w:t>
      </w:r>
      <w:r>
        <w:t>Extension</w:t>
      </w:r>
      <w:r>
        <w:rPr>
          <w:spacing w:val="-4"/>
        </w:rPr>
        <w:t xml:space="preserve"> </w:t>
      </w:r>
      <w:r>
        <w:t>Specialist</w:t>
      </w:r>
      <w:r>
        <w:rPr>
          <w:spacing w:val="-4"/>
        </w:rPr>
        <w:t xml:space="preserve"> </w:t>
      </w:r>
      <w:r>
        <w:t>or</w:t>
      </w:r>
      <w:r>
        <w:rPr>
          <w:spacing w:val="-4"/>
        </w:rPr>
        <w:t xml:space="preserve"> </w:t>
      </w:r>
      <w:r>
        <w:t>your</w:t>
      </w:r>
      <w:r>
        <w:rPr>
          <w:spacing w:val="-4"/>
        </w:rPr>
        <w:t xml:space="preserve"> </w:t>
      </w:r>
      <w:r>
        <w:t>regional</w:t>
      </w:r>
      <w:r>
        <w:rPr>
          <w:spacing w:val="-4"/>
        </w:rPr>
        <w:t xml:space="preserve"> </w:t>
      </w:r>
      <w:r>
        <w:t>DEC</w:t>
      </w:r>
      <w:r>
        <w:rPr>
          <w:spacing w:val="-4"/>
        </w:rPr>
        <w:t xml:space="preserve"> </w:t>
      </w:r>
      <w:r>
        <w:t>office.</w:t>
      </w:r>
    </w:p>
    <w:p w14:paraId="6B7F7564" w14:textId="58364C57" w:rsidR="00F7002C" w:rsidRPr="00F7002C" w:rsidRDefault="00F7002C" w:rsidP="00F7002C">
      <w:pPr>
        <w:rPr>
          <w:rFonts w:ascii="Work Sans"/>
          <w:sz w:val="28"/>
        </w:rPr>
      </w:pPr>
      <w:r w:rsidRPr="008508C6">
        <w:rPr>
          <w:b/>
          <w:bCs/>
          <w:color w:val="000000"/>
        </w:rPr>
        <w:t xml:space="preserve">The </w:t>
      </w:r>
      <w:r>
        <w:rPr>
          <w:b/>
          <w:bCs/>
          <w:color w:val="000000"/>
        </w:rPr>
        <w:t xml:space="preserve">Cornell </w:t>
      </w:r>
      <w:r w:rsidRPr="008508C6">
        <w:rPr>
          <w:b/>
          <w:bCs/>
          <w:color w:val="000000"/>
        </w:rPr>
        <w:t xml:space="preserve">Plant Disease Diagnostic Clinic </w:t>
      </w:r>
    </w:p>
    <w:p w14:paraId="13C77CEF" w14:textId="77777777" w:rsidR="00F7002C" w:rsidRPr="00117CDE" w:rsidRDefault="00F7002C" w:rsidP="00F7002C">
      <w:pPr>
        <w:rPr>
          <w:color w:val="000000"/>
        </w:rPr>
      </w:pPr>
      <w:r w:rsidRPr="00117CDE">
        <w:rPr>
          <w:color w:val="000000"/>
        </w:rPr>
        <w:t>Phone: 607</w:t>
      </w:r>
      <w:r w:rsidRPr="00117CDE">
        <w:rPr>
          <w:rFonts w:ascii="Times New Roman" w:hAnsi="Times New Roman" w:cs="Times New Roman"/>
          <w:color w:val="000000"/>
        </w:rPr>
        <w:t>‐</w:t>
      </w:r>
      <w:r w:rsidRPr="00117CDE">
        <w:rPr>
          <w:color w:val="000000"/>
        </w:rPr>
        <w:t>255</w:t>
      </w:r>
      <w:r w:rsidRPr="00117CDE">
        <w:rPr>
          <w:rFonts w:ascii="Times New Roman" w:hAnsi="Times New Roman" w:cs="Times New Roman"/>
          <w:color w:val="000000"/>
        </w:rPr>
        <w:t>‐</w:t>
      </w:r>
      <w:r w:rsidRPr="00117CDE">
        <w:rPr>
          <w:color w:val="000000"/>
        </w:rPr>
        <w:t xml:space="preserve">7850 </w:t>
      </w:r>
    </w:p>
    <w:p w14:paraId="67109D30" w14:textId="77777777" w:rsidR="00F7002C" w:rsidRPr="00117CDE" w:rsidRDefault="00F7002C" w:rsidP="00F7002C">
      <w:pPr>
        <w:rPr>
          <w:color w:val="000000"/>
        </w:rPr>
      </w:pPr>
      <w:r w:rsidRPr="00117CDE">
        <w:rPr>
          <w:color w:val="000000"/>
        </w:rPr>
        <w:t>Fax: 607</w:t>
      </w:r>
      <w:r w:rsidRPr="00117CDE">
        <w:rPr>
          <w:rFonts w:ascii="Times New Roman" w:hAnsi="Times New Roman" w:cs="Times New Roman"/>
          <w:color w:val="000000"/>
        </w:rPr>
        <w:t>‐</w:t>
      </w:r>
      <w:r w:rsidRPr="00117CDE">
        <w:rPr>
          <w:color w:val="000000"/>
        </w:rPr>
        <w:t>255</w:t>
      </w:r>
      <w:r w:rsidRPr="00117CDE">
        <w:rPr>
          <w:rFonts w:ascii="Times New Roman" w:hAnsi="Times New Roman" w:cs="Times New Roman"/>
          <w:color w:val="000000"/>
        </w:rPr>
        <w:t>‐</w:t>
      </w:r>
      <w:r w:rsidRPr="00117CDE">
        <w:rPr>
          <w:color w:val="000000"/>
        </w:rPr>
        <w:t>4471</w:t>
      </w:r>
    </w:p>
    <w:p w14:paraId="036B1568" w14:textId="2E539264" w:rsidR="00F7002C" w:rsidRDefault="00F7002C" w:rsidP="00F7002C">
      <w:pPr>
        <w:rPr>
          <w:color w:val="000000"/>
        </w:rPr>
      </w:pPr>
      <w:r w:rsidRPr="00117CDE">
        <w:rPr>
          <w:color w:val="000000"/>
        </w:rPr>
        <w:t>Email</w:t>
      </w:r>
      <w:r>
        <w:rPr>
          <w:color w:val="000000"/>
        </w:rPr>
        <w:t xml:space="preserve">: </w:t>
      </w:r>
      <w:hyperlink r:id="rId14" w:history="1">
        <w:r w:rsidRPr="00F7002C">
          <w:rPr>
            <w:rStyle w:val="Hyperlink"/>
          </w:rPr>
          <w:t>mailto:Cornell-plantdiseaseclinic@cornell.edu</w:t>
        </w:r>
      </w:hyperlink>
      <w:r>
        <w:rPr>
          <w:color w:val="000000"/>
        </w:rPr>
        <w:t xml:space="preserve"> </w:t>
      </w:r>
    </w:p>
    <w:p w14:paraId="3E20D786" w14:textId="1EDAAA7C" w:rsidR="00F7002C" w:rsidRPr="00117CDE" w:rsidRDefault="00F7002C" w:rsidP="00F7002C">
      <w:pPr>
        <w:rPr>
          <w:color w:val="000000"/>
        </w:rPr>
      </w:pPr>
      <w:r w:rsidRPr="00117CDE">
        <w:rPr>
          <w:color w:val="000000"/>
        </w:rPr>
        <w:t xml:space="preserve">Web: </w:t>
      </w:r>
      <w:hyperlink r:id="rId15" w:history="1">
        <w:r w:rsidRPr="00F7002C">
          <w:rPr>
            <w:rStyle w:val="Hyperlink"/>
          </w:rPr>
          <w:t>plantclinic.cornell.edu</w:t>
        </w:r>
      </w:hyperlink>
      <w:r>
        <w:rPr>
          <w:color w:val="000000"/>
        </w:rPr>
        <w:t xml:space="preserve"> </w:t>
      </w:r>
    </w:p>
    <w:p w14:paraId="7089EA0C" w14:textId="77777777" w:rsidR="00F7002C" w:rsidRPr="00F7002C" w:rsidRDefault="00F7002C" w:rsidP="00F7002C">
      <w:pPr>
        <w:spacing w:before="4" w:after="120" w:line="228" w:lineRule="auto"/>
      </w:pPr>
    </w:p>
    <w:sectPr w:rsidR="00F7002C" w:rsidRPr="00F7002C">
      <w:pgSz w:w="12240" w:h="15840"/>
      <w:pgMar w:top="380" w:right="6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ora">
    <w:panose1 w:val="02000503000000020004"/>
    <w:charset w:val="00"/>
    <w:family w:val="auto"/>
    <w:pitch w:val="variable"/>
    <w:sig w:usb0="800002A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Work Sans">
    <w:panose1 w:val="00000500000000000000"/>
    <w:charset w:val="00"/>
    <w:family w:val="auto"/>
    <w:pitch w:val="variable"/>
    <w:sig w:usb0="00000007" w:usb1="00000001" w:usb2="00000000" w:usb3="00000000" w:csb0="00000093" w:csb1="00000000"/>
  </w:font>
  <w:font w:name="Work Sans Black">
    <w:altName w:val="Work Sans Black"/>
    <w:panose1 w:val="00000A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3BFF"/>
    <w:multiLevelType w:val="hybridMultilevel"/>
    <w:tmpl w:val="A3A69AB2"/>
    <w:lvl w:ilvl="0" w:tplc="84703C2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576CF7"/>
    <w:multiLevelType w:val="hybridMultilevel"/>
    <w:tmpl w:val="CBE49C2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50329"/>
    <w:multiLevelType w:val="hybridMultilevel"/>
    <w:tmpl w:val="F1EEC8DE"/>
    <w:lvl w:ilvl="0" w:tplc="8B84B7A8">
      <w:start w:val="1"/>
      <w:numFmt w:val="decimal"/>
      <w:lvlText w:val="%1."/>
      <w:lvlJc w:val="left"/>
      <w:pPr>
        <w:ind w:left="676" w:hanging="357"/>
        <w:jc w:val="right"/>
      </w:pPr>
      <w:rPr>
        <w:rFonts w:ascii="Lora" w:eastAsia="Lora" w:hAnsi="Lora" w:cs="Lora" w:hint="default"/>
        <w:b w:val="0"/>
        <w:bCs w:val="0"/>
        <w:i w:val="0"/>
        <w:iCs w:val="0"/>
        <w:spacing w:val="-2"/>
        <w:w w:val="100"/>
        <w:sz w:val="22"/>
        <w:szCs w:val="22"/>
        <w:lang w:val="en-US" w:eastAsia="en-US" w:bidi="ar-SA"/>
      </w:rPr>
    </w:lvl>
    <w:lvl w:ilvl="1" w:tplc="4D2AB7AC">
      <w:numFmt w:val="bullet"/>
      <w:lvlText w:val="•"/>
      <w:lvlJc w:val="left"/>
      <w:pPr>
        <w:ind w:left="1686" w:hanging="357"/>
      </w:pPr>
      <w:rPr>
        <w:rFonts w:hint="default"/>
        <w:lang w:val="en-US" w:eastAsia="en-US" w:bidi="ar-SA"/>
      </w:rPr>
    </w:lvl>
    <w:lvl w:ilvl="2" w:tplc="BBB6E580">
      <w:numFmt w:val="bullet"/>
      <w:lvlText w:val="•"/>
      <w:lvlJc w:val="left"/>
      <w:pPr>
        <w:ind w:left="2692" w:hanging="357"/>
      </w:pPr>
      <w:rPr>
        <w:rFonts w:hint="default"/>
        <w:lang w:val="en-US" w:eastAsia="en-US" w:bidi="ar-SA"/>
      </w:rPr>
    </w:lvl>
    <w:lvl w:ilvl="3" w:tplc="03869A44">
      <w:numFmt w:val="bullet"/>
      <w:lvlText w:val="•"/>
      <w:lvlJc w:val="left"/>
      <w:pPr>
        <w:ind w:left="3698" w:hanging="357"/>
      </w:pPr>
      <w:rPr>
        <w:rFonts w:hint="default"/>
        <w:lang w:val="en-US" w:eastAsia="en-US" w:bidi="ar-SA"/>
      </w:rPr>
    </w:lvl>
    <w:lvl w:ilvl="4" w:tplc="D2A6CDC6">
      <w:numFmt w:val="bullet"/>
      <w:lvlText w:val="•"/>
      <w:lvlJc w:val="left"/>
      <w:pPr>
        <w:ind w:left="4704" w:hanging="357"/>
      </w:pPr>
      <w:rPr>
        <w:rFonts w:hint="default"/>
        <w:lang w:val="en-US" w:eastAsia="en-US" w:bidi="ar-SA"/>
      </w:rPr>
    </w:lvl>
    <w:lvl w:ilvl="5" w:tplc="E0DAA2A6">
      <w:numFmt w:val="bullet"/>
      <w:lvlText w:val="•"/>
      <w:lvlJc w:val="left"/>
      <w:pPr>
        <w:ind w:left="5710" w:hanging="357"/>
      </w:pPr>
      <w:rPr>
        <w:rFonts w:hint="default"/>
        <w:lang w:val="en-US" w:eastAsia="en-US" w:bidi="ar-SA"/>
      </w:rPr>
    </w:lvl>
    <w:lvl w:ilvl="6" w:tplc="318A091E">
      <w:numFmt w:val="bullet"/>
      <w:lvlText w:val="•"/>
      <w:lvlJc w:val="left"/>
      <w:pPr>
        <w:ind w:left="6716" w:hanging="357"/>
      </w:pPr>
      <w:rPr>
        <w:rFonts w:hint="default"/>
        <w:lang w:val="en-US" w:eastAsia="en-US" w:bidi="ar-SA"/>
      </w:rPr>
    </w:lvl>
    <w:lvl w:ilvl="7" w:tplc="215AB9DE">
      <w:numFmt w:val="bullet"/>
      <w:lvlText w:val="•"/>
      <w:lvlJc w:val="left"/>
      <w:pPr>
        <w:ind w:left="7722" w:hanging="357"/>
      </w:pPr>
      <w:rPr>
        <w:rFonts w:hint="default"/>
        <w:lang w:val="en-US" w:eastAsia="en-US" w:bidi="ar-SA"/>
      </w:rPr>
    </w:lvl>
    <w:lvl w:ilvl="8" w:tplc="ECF4E6B4">
      <w:numFmt w:val="bullet"/>
      <w:lvlText w:val="•"/>
      <w:lvlJc w:val="left"/>
      <w:pPr>
        <w:ind w:left="8728" w:hanging="357"/>
      </w:pPr>
      <w:rPr>
        <w:rFonts w:hint="default"/>
        <w:lang w:val="en-US" w:eastAsia="en-US" w:bidi="ar-SA"/>
      </w:rPr>
    </w:lvl>
  </w:abstractNum>
  <w:abstractNum w:abstractNumId="3" w15:restartNumberingAfterBreak="0">
    <w:nsid w:val="49186B87"/>
    <w:multiLevelType w:val="hybridMultilevel"/>
    <w:tmpl w:val="0EAC490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74457"/>
    <w:multiLevelType w:val="hybridMultilevel"/>
    <w:tmpl w:val="C6FE9B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245341">
    <w:abstractNumId w:val="2"/>
  </w:num>
  <w:num w:numId="2" w16cid:durableId="1005353944">
    <w:abstractNumId w:val="4"/>
  </w:num>
  <w:num w:numId="3" w16cid:durableId="1959679767">
    <w:abstractNumId w:val="1"/>
  </w:num>
  <w:num w:numId="4" w16cid:durableId="1555578241">
    <w:abstractNumId w:val="0"/>
  </w:num>
  <w:num w:numId="5" w16cid:durableId="1789548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BB"/>
    <w:rsid w:val="00225C5F"/>
    <w:rsid w:val="00343ABB"/>
    <w:rsid w:val="0091496D"/>
    <w:rsid w:val="00941728"/>
    <w:rsid w:val="00A60495"/>
    <w:rsid w:val="00B80B0B"/>
    <w:rsid w:val="00C12B24"/>
    <w:rsid w:val="00E35FF3"/>
    <w:rsid w:val="00E47BDD"/>
    <w:rsid w:val="00EB1F46"/>
    <w:rsid w:val="00F53AE5"/>
    <w:rsid w:val="00F7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C328"/>
  <w15:docId w15:val="{87D2A023-D163-4744-88D5-AC0C117A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ora" w:eastAsia="Lora" w:hAnsi="Lora" w:cs="Lora"/>
    </w:rPr>
  </w:style>
  <w:style w:type="paragraph" w:styleId="Heading1">
    <w:name w:val="heading 1"/>
    <w:basedOn w:val="Normal"/>
    <w:uiPriority w:val="9"/>
    <w:qFormat/>
    <w:pPr>
      <w:ind w:left="221"/>
      <w:outlineLvl w:val="0"/>
    </w:pPr>
    <w:rPr>
      <w:rFonts w:ascii="Work Sans" w:eastAsia="Work Sans" w:hAnsi="Work Sans" w:cs="Work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15"/>
    </w:pPr>
    <w:rPr>
      <w:rFonts w:ascii="Work Sans" w:eastAsia="Work Sans" w:hAnsi="Work Sans" w:cs="Work Sans"/>
      <w:b/>
      <w:bCs/>
      <w:sz w:val="44"/>
      <w:szCs w:val="44"/>
    </w:rPr>
  </w:style>
  <w:style w:type="paragraph" w:styleId="ListParagraph">
    <w:name w:val="List Paragraph"/>
    <w:basedOn w:val="Normal"/>
    <w:uiPriority w:val="1"/>
    <w:qFormat/>
    <w:pPr>
      <w:spacing w:before="10"/>
      <w:ind w:left="676" w:hanging="493"/>
    </w:pPr>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941728"/>
    <w:pPr>
      <w:spacing w:after="200"/>
    </w:pPr>
    <w:rPr>
      <w:i/>
      <w:iCs/>
      <w:color w:val="1F497D" w:themeColor="text2"/>
      <w:sz w:val="18"/>
      <w:szCs w:val="18"/>
    </w:rPr>
  </w:style>
  <w:style w:type="character" w:styleId="Hyperlink">
    <w:name w:val="Hyperlink"/>
    <w:basedOn w:val="DefaultParagraphFont"/>
    <w:uiPriority w:val="99"/>
    <w:unhideWhenUsed/>
    <w:rsid w:val="00F7002C"/>
    <w:rPr>
      <w:color w:val="0000FF" w:themeColor="hyperlink"/>
      <w:u w:val="single"/>
    </w:rPr>
  </w:style>
  <w:style w:type="character" w:styleId="UnresolvedMention">
    <w:name w:val="Unresolved Mention"/>
    <w:basedOn w:val="DefaultParagraphFont"/>
    <w:uiPriority w:val="99"/>
    <w:semiHidden/>
    <w:unhideWhenUsed/>
    <w:rsid w:val="00F70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doi.org/10.3114/sim0018"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doi.org/10.1094/PDIS-12-20-2620-S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cholar.google.com/scholar_lookup?title=Cannabis%2Becology&amp;author=McEno%252" TargetMode="External"/><Relationship Id="rId5" Type="http://schemas.openxmlformats.org/officeDocument/2006/relationships/image" Target="media/image1.jpeg"/><Relationship Id="rId15" Type="http://schemas.openxmlformats.org/officeDocument/2006/relationships/hyperlink" Target="file:///C:\Users\slj2\Desktop\plantclinic.cornell.edu" TargetMode="External"/><Relationship Id="rId10" Type="http://schemas.openxmlformats.org/officeDocument/2006/relationships/hyperlink" Target="https://doi.org/10.1094/PHP-12-21-0143-SC"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Cornell-plantdiseaseclinic@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Septoria Leaf Spot of Hemp</vt:lpstr>
    </vt:vector>
  </TitlesOfParts>
  <Company>Cornell University</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Septoria Leaf Spot of Hemp</dc:title>
  <dc:subject>Septoria Leaf Spot of Hemp</dc:subject>
  <dc:creator>Jocelyn Schwartz</dc:creator>
  <cp:keywords>Septoria Leaf Spot of HempSeptoria cannabisSeptoria neocannabina</cp:keywords>
  <dc:description/>
  <cp:lastModifiedBy>Sandra Lorraine Jensen</cp:lastModifiedBy>
  <cp:revision>5</cp:revision>
  <dcterms:created xsi:type="dcterms:W3CDTF">2024-03-28T19:50:00Z</dcterms:created>
  <dcterms:modified xsi:type="dcterms:W3CDTF">2024-03-29T15:13:00Z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Acrobat PDFMaker 22 for Word</vt:lpwstr>
  </property>
  <property fmtid="{D5CDD505-2E9C-101B-9397-08002B2CF9AE}" pid="4" name="LastSaved">
    <vt:filetime>2024-03-11T00:00:00Z</vt:filetime>
  </property>
  <property fmtid="{D5CDD505-2E9C-101B-9397-08002B2CF9AE}" pid="5" name="Producer">
    <vt:lpwstr>Adobe Acrobat Pro (32-bit) 22 Paper Capture Plug-in</vt:lpwstr>
  </property>
  <property fmtid="{D5CDD505-2E9C-101B-9397-08002B2CF9AE}" pid="6" name="SourceModified">
    <vt:lpwstr>D:20221201205242</vt:lpwstr>
  </property>
</Properties>
</file>