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7216"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2CD305B4" w:rsidR="00676BE3" w:rsidRPr="0058677B" w:rsidRDefault="00193051" w:rsidP="006B7882">
      <w:pPr>
        <w:tabs>
          <w:tab w:val="left" w:pos="6585"/>
        </w:tabs>
        <w:rPr>
          <w:rFonts w:ascii="Work Sans" w:hAnsi="Work Sans"/>
          <w:b/>
          <w:color w:val="000000" w:themeColor="text1"/>
          <w:sz w:val="44"/>
          <w:szCs w:val="44"/>
        </w:rPr>
        <w:sectPr w:rsidR="00676BE3" w:rsidRPr="0058677B" w:rsidSect="00437088">
          <w:pgSz w:w="12240" w:h="15840"/>
          <w:pgMar w:top="720" w:right="720" w:bottom="720" w:left="720" w:header="720" w:footer="720" w:gutter="0"/>
          <w:cols w:space="720"/>
          <w:docGrid w:linePitch="360"/>
        </w:sectPr>
      </w:pPr>
      <w:r>
        <w:rPr>
          <w:rFonts w:ascii="Work Sans" w:hAnsi="Work Sans"/>
          <w:b/>
          <w:color w:val="000000" w:themeColor="text1"/>
          <w:sz w:val="44"/>
          <w:szCs w:val="44"/>
        </w:rPr>
        <w:t>Az</w:t>
      </w:r>
      <w:r w:rsidR="006B7882">
        <w:rPr>
          <w:rFonts w:ascii="Work Sans" w:hAnsi="Work Sans"/>
          <w:b/>
          <w:color w:val="000000" w:themeColor="text1"/>
          <w:sz w:val="44"/>
          <w:szCs w:val="44"/>
        </w:rPr>
        <w:t>alea G</w:t>
      </w:r>
      <w:r w:rsidR="00661280">
        <w:rPr>
          <w:rFonts w:ascii="Work Sans" w:hAnsi="Work Sans"/>
          <w:b/>
          <w:color w:val="000000" w:themeColor="text1"/>
          <w:sz w:val="44"/>
          <w:szCs w:val="44"/>
        </w:rPr>
        <w:t>a</w:t>
      </w:r>
      <w:r w:rsidR="006B7882">
        <w:rPr>
          <w:rFonts w:ascii="Work Sans" w:hAnsi="Work Sans"/>
          <w:b/>
          <w:color w:val="000000" w:themeColor="text1"/>
          <w:sz w:val="44"/>
          <w:szCs w:val="44"/>
        </w:rPr>
        <w:t>ll</w:t>
      </w:r>
      <w:r w:rsidR="00712DAC" w:rsidRPr="005E4CFA">
        <w:rPr>
          <w:rFonts w:ascii="Work Sans" w:hAnsi="Work Sans"/>
          <w:b/>
          <w:color w:val="000000" w:themeColor="text1"/>
          <w:sz w:val="44"/>
          <w:szCs w:val="44"/>
        </w:rPr>
        <w:t>:</w:t>
      </w:r>
      <w:r w:rsidR="0058677B">
        <w:rPr>
          <w:rFonts w:ascii="Work Sans" w:hAnsi="Work Sans"/>
          <w:b/>
          <w:color w:val="000000" w:themeColor="text1"/>
          <w:sz w:val="44"/>
          <w:szCs w:val="44"/>
        </w:rPr>
        <w:t xml:space="preserve"> </w:t>
      </w:r>
      <w:proofErr w:type="spellStart"/>
      <w:r w:rsidR="006B7882" w:rsidRPr="006B7882">
        <w:rPr>
          <w:rFonts w:ascii="Work Sans" w:hAnsi="Work Sans"/>
          <w:i/>
          <w:color w:val="000000" w:themeColor="text1"/>
          <w:sz w:val="36"/>
          <w:szCs w:val="36"/>
        </w:rPr>
        <w:t>Exobasidium</w:t>
      </w:r>
      <w:proofErr w:type="spellEnd"/>
      <w:r w:rsidR="006B7882" w:rsidRPr="006B7882">
        <w:rPr>
          <w:rFonts w:ascii="Work Sans" w:hAnsi="Work Sans"/>
          <w:i/>
          <w:color w:val="000000" w:themeColor="text1"/>
          <w:sz w:val="36"/>
          <w:szCs w:val="36"/>
        </w:rPr>
        <w:t xml:space="preserve"> </w:t>
      </w:r>
      <w:proofErr w:type="spellStart"/>
      <w:r w:rsidR="006B7882" w:rsidRPr="006B7882">
        <w:rPr>
          <w:rFonts w:ascii="Work Sans" w:hAnsi="Work Sans"/>
          <w:i/>
          <w:color w:val="000000" w:themeColor="text1"/>
          <w:sz w:val="36"/>
          <w:szCs w:val="36"/>
        </w:rPr>
        <w:t>vaccinii</w:t>
      </w:r>
      <w:proofErr w:type="spellEnd"/>
    </w:p>
    <w:p w14:paraId="0C8E739A" w14:textId="0878D53C" w:rsidR="00896C25" w:rsidRDefault="00712DAC" w:rsidP="00896C25">
      <w:pPr>
        <w:spacing w:after="120"/>
        <w:rPr>
          <w:rFonts w:ascii="Lora" w:hAnsi="Lora" w:cs="AGaramondPro-Regular"/>
        </w:rPr>
      </w:pPr>
      <w:r w:rsidRPr="005E4CFA">
        <w:rPr>
          <w:rFonts w:ascii="Work Sans" w:hAnsi="Work Sans"/>
          <w:b/>
          <w:color w:val="000000" w:themeColor="text1"/>
          <w:sz w:val="28"/>
          <w:szCs w:val="28"/>
        </w:rPr>
        <w:t>Introduction</w:t>
      </w:r>
    </w:p>
    <w:p w14:paraId="13B505ED" w14:textId="08A911F6" w:rsidR="006B7882" w:rsidRPr="00AC7DAF" w:rsidRDefault="006B7882" w:rsidP="006B7882">
      <w:pPr>
        <w:spacing w:after="120"/>
        <w:rPr>
          <w:rFonts w:ascii="Lora" w:hAnsi="Lora" w:cs="AGaramondPro-Regular"/>
        </w:rPr>
      </w:pPr>
      <w:r w:rsidRPr="006B7882">
        <w:rPr>
          <w:rFonts w:ascii="Lora" w:hAnsi="Lora" w:cs="AGaramondPro-Regular"/>
        </w:rPr>
        <w:t xml:space="preserve">Azalea gall is a problem of widespread occurrence in this country. Pale green, pink, white, or brown fleshy galls, caused by the fungus </w:t>
      </w:r>
      <w:proofErr w:type="spellStart"/>
      <w:r w:rsidRPr="009C0695">
        <w:rPr>
          <w:rFonts w:ascii="Lora" w:hAnsi="Lora" w:cs="AGaramondPro-Regular"/>
          <w:i/>
          <w:iCs/>
        </w:rPr>
        <w:t>Exobasidium</w:t>
      </w:r>
      <w:proofErr w:type="spellEnd"/>
      <w:r w:rsidRPr="009C0695">
        <w:rPr>
          <w:rFonts w:ascii="Lora" w:hAnsi="Lora" w:cs="AGaramondPro-Regular"/>
          <w:i/>
          <w:iCs/>
        </w:rPr>
        <w:t xml:space="preserve"> </w:t>
      </w:r>
      <w:proofErr w:type="spellStart"/>
      <w:r w:rsidRPr="009C0695">
        <w:rPr>
          <w:rFonts w:ascii="Lora" w:hAnsi="Lora" w:cs="AGaramondPro-Regular"/>
          <w:i/>
          <w:iCs/>
        </w:rPr>
        <w:t>vaccinii</w:t>
      </w:r>
      <w:proofErr w:type="spellEnd"/>
      <w:r w:rsidRPr="006B7882">
        <w:rPr>
          <w:rFonts w:ascii="Lora" w:hAnsi="Lora" w:cs="AGaramondPro-Regular"/>
        </w:rPr>
        <w:t xml:space="preserve">, may develop on leaves (Fig. 1), branch tips, flower parts, and even on seedpods. </w:t>
      </w:r>
      <w:proofErr w:type="spellStart"/>
      <w:r w:rsidRPr="009C0695">
        <w:rPr>
          <w:rFonts w:ascii="Lora" w:hAnsi="Lora" w:cs="AGaramondPro-Regular"/>
          <w:i/>
          <w:iCs/>
        </w:rPr>
        <w:t>Exobasidium</w:t>
      </w:r>
      <w:proofErr w:type="spellEnd"/>
      <w:r w:rsidRPr="009C0695">
        <w:rPr>
          <w:rFonts w:ascii="Lora" w:hAnsi="Lora" w:cs="AGaramondPro-Regular"/>
          <w:i/>
          <w:iCs/>
        </w:rPr>
        <w:t xml:space="preserve"> </w:t>
      </w:r>
      <w:proofErr w:type="spellStart"/>
      <w:r w:rsidRPr="009C0695">
        <w:rPr>
          <w:rFonts w:ascii="Lora" w:hAnsi="Lora" w:cs="AGaramondPro-Regular"/>
          <w:i/>
          <w:iCs/>
        </w:rPr>
        <w:t>vaccinii</w:t>
      </w:r>
      <w:proofErr w:type="spellEnd"/>
      <w:r w:rsidRPr="006B7882">
        <w:rPr>
          <w:rFonts w:ascii="Lora" w:hAnsi="Lora" w:cs="AGaramondPro-Regular"/>
        </w:rPr>
        <w:t xml:space="preserve"> also infects species of Vaccinium including cranberries where it produces bright red, swollen spots on the leaves and fruits. Infected stems become thickened.</w:t>
      </w:r>
    </w:p>
    <w:p w14:paraId="2B317735" w14:textId="429B8FDF" w:rsidR="00D146BE" w:rsidRDefault="00712DAC" w:rsidP="00CF6721">
      <w:pPr>
        <w:spacing w:after="120"/>
        <w:rPr>
          <w:rFonts w:ascii="Lora" w:hAnsi="Lora" w:cs="AGaramondPro-Regular"/>
        </w:rPr>
      </w:pPr>
      <w:r w:rsidRPr="005E4CFA">
        <w:rPr>
          <w:rFonts w:ascii="Work Sans" w:hAnsi="Work Sans"/>
          <w:b/>
          <w:color w:val="000000"/>
          <w:sz w:val="28"/>
          <w:szCs w:val="28"/>
        </w:rPr>
        <w:t>Symptoms and Signs</w:t>
      </w:r>
    </w:p>
    <w:p w14:paraId="6001DDF5" w14:textId="5F6FF5F6" w:rsidR="009C0695" w:rsidRDefault="00696796" w:rsidP="009C0695">
      <w:pPr>
        <w:spacing w:after="120"/>
        <w:rPr>
          <w:rFonts w:ascii="Lora" w:hAnsi="Lora" w:cs="AGaramondPro-Regular"/>
        </w:rPr>
      </w:pPr>
      <w:r w:rsidRPr="00DC21C2">
        <w:rPr>
          <w:rFonts w:ascii="Lora" w:hAnsi="Lora" w:cs="AGaramondPro-Regular"/>
          <w:noProof/>
        </w:rPr>
        <w:drawing>
          <wp:anchor distT="0" distB="0" distL="114300" distR="114300" simplePos="0" relativeHeight="251658240" behindDoc="1" locked="0" layoutInCell="1" allowOverlap="1" wp14:anchorId="70231E4B" wp14:editId="396CBE01">
            <wp:simplePos x="0" y="0"/>
            <wp:positionH relativeFrom="margin">
              <wp:align>left</wp:align>
            </wp:positionH>
            <wp:positionV relativeFrom="paragraph">
              <wp:posOffset>1812290</wp:posOffset>
            </wp:positionV>
            <wp:extent cx="2933700" cy="2115820"/>
            <wp:effectExtent l="0" t="0" r="0" b="0"/>
            <wp:wrapTight wrapText="bothSides">
              <wp:wrapPolygon edited="0">
                <wp:start x="0" y="0"/>
                <wp:lineTo x="0" y="21393"/>
                <wp:lineTo x="21460" y="21393"/>
                <wp:lineTo x="21460" y="0"/>
                <wp:lineTo x="0" y="0"/>
              </wp:wrapPolygon>
            </wp:wrapTight>
            <wp:docPr id="39692551" name="Picture 1" descr="Close-up of a plant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2551" name="Picture 1" descr="Close-up of a plant with green leav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936200" cy="2117734"/>
                    </a:xfrm>
                    <a:prstGeom prst="rect">
                      <a:avLst/>
                    </a:prstGeom>
                  </pic:spPr>
                </pic:pic>
              </a:graphicData>
            </a:graphic>
            <wp14:sizeRelH relativeFrom="margin">
              <wp14:pctWidth>0</wp14:pctWidth>
            </wp14:sizeRelH>
            <wp14:sizeRelV relativeFrom="margin">
              <wp14:pctHeight>0</wp14:pctHeight>
            </wp14:sizeRelV>
          </wp:anchor>
        </w:drawing>
      </w:r>
      <w:r w:rsidR="009C0695" w:rsidRPr="009C0695">
        <w:rPr>
          <w:rFonts w:ascii="Lora" w:hAnsi="Lora" w:cs="AGaramondPro-Regular"/>
        </w:rPr>
        <w:t>The fungus overwinters within the infected plant. In the late spring and early summer, a whitish coating appears on the swollen plant tissue (Fig. 2). This coating is composed of many microscopic fungal structures which produce spores capable of infecting more plants during moist weather. This disease is not usually a serious problem unless wet conditions prevail for long periods of time.</w:t>
      </w:r>
    </w:p>
    <w:p w14:paraId="3B5D860C" w14:textId="77777777" w:rsidR="00696796" w:rsidRDefault="00696796" w:rsidP="00696796">
      <w:pPr>
        <w:rPr>
          <w:rFonts w:ascii="Lora" w:hAnsi="Lora" w:cs="Times New Roman"/>
          <w:sz w:val="20"/>
          <w:szCs w:val="20"/>
        </w:rPr>
      </w:pPr>
      <w:r w:rsidRPr="00DC21C2">
        <w:rPr>
          <w:rFonts w:ascii="Lora" w:hAnsi="Lora" w:cs="Times New Roman"/>
          <w:sz w:val="20"/>
          <w:szCs w:val="20"/>
        </w:rPr>
        <w:t xml:space="preserve">Figure 1: An immature leaf gall on azalea. (provided by the Plant Disease Diagnostic Clinic, Cornell University)  </w:t>
      </w:r>
    </w:p>
    <w:p w14:paraId="142318C5" w14:textId="382E3339" w:rsidR="009C0695" w:rsidRDefault="009C0695" w:rsidP="009C0695">
      <w:pPr>
        <w:spacing w:after="120"/>
        <w:rPr>
          <w:rFonts w:ascii="Lora" w:hAnsi="Lora" w:cs="AGaramondPro-Regular"/>
        </w:rPr>
      </w:pPr>
    </w:p>
    <w:p w14:paraId="2E31787F" w14:textId="0F0FD729" w:rsidR="00FB6C9D" w:rsidRDefault="00FB6C9D" w:rsidP="00DC21C2">
      <w:pPr>
        <w:rPr>
          <w:rFonts w:ascii="Lora" w:hAnsi="Lora" w:cs="Times New Roman"/>
          <w:sz w:val="20"/>
          <w:szCs w:val="20"/>
        </w:rPr>
      </w:pPr>
      <w:r w:rsidRPr="00FB6C9D">
        <w:rPr>
          <w:rFonts w:ascii="Lora" w:hAnsi="Lora" w:cs="Times New Roman"/>
          <w:noProof/>
          <w:sz w:val="20"/>
          <w:szCs w:val="20"/>
        </w:rPr>
        <w:drawing>
          <wp:inline distT="0" distB="0" distL="0" distR="0" wp14:anchorId="6DBDF6BD" wp14:editId="70D138EE">
            <wp:extent cx="3117102" cy="2257425"/>
            <wp:effectExtent l="0" t="0" r="7620" b="0"/>
            <wp:docPr id="598040866" name="Picture 1" descr="A close-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40866" name="Picture 1" descr="A close-up of a plant&#10;&#10;Description automatically generated"/>
                    <pic:cNvPicPr/>
                  </pic:nvPicPr>
                  <pic:blipFill>
                    <a:blip r:embed="rId7"/>
                    <a:stretch>
                      <a:fillRect/>
                    </a:stretch>
                  </pic:blipFill>
                  <pic:spPr>
                    <a:xfrm>
                      <a:off x="0" y="0"/>
                      <a:ext cx="3121705" cy="2260758"/>
                    </a:xfrm>
                    <a:prstGeom prst="rect">
                      <a:avLst/>
                    </a:prstGeom>
                  </pic:spPr>
                </pic:pic>
              </a:graphicData>
            </a:graphic>
          </wp:inline>
        </w:drawing>
      </w:r>
    </w:p>
    <w:p w14:paraId="5AFEE9DB" w14:textId="0EFDB746" w:rsidR="00FB6C9D" w:rsidRPr="00DC21C2" w:rsidRDefault="00FB6C9D" w:rsidP="00DC21C2">
      <w:pPr>
        <w:rPr>
          <w:rFonts w:ascii="Lora" w:hAnsi="Lora" w:cs="Times New Roman"/>
          <w:sz w:val="20"/>
          <w:szCs w:val="20"/>
        </w:rPr>
      </w:pPr>
      <w:r w:rsidRPr="00FB6C9D">
        <w:rPr>
          <w:rFonts w:ascii="Lora" w:hAnsi="Lora" w:cs="Times New Roman"/>
          <w:sz w:val="20"/>
          <w:szCs w:val="20"/>
        </w:rPr>
        <w:t>Figure 2: A mature azalea leaf gall that is producing a white layer of spores (provided by the Plant Disease Diagnostic Clinic, Cornell University)</w:t>
      </w:r>
    </w:p>
    <w:p w14:paraId="0820176D" w14:textId="71B13DC0" w:rsidR="00EE4FBD" w:rsidRPr="00473CFB" w:rsidRDefault="008E52E3" w:rsidP="00EE4FBD">
      <w:pPr>
        <w:spacing w:after="120"/>
        <w:rPr>
          <w:rFonts w:ascii="Work Sans" w:hAnsi="Work Sans"/>
          <w:b/>
          <w:color w:val="000000"/>
          <w:sz w:val="28"/>
          <w:szCs w:val="28"/>
        </w:rPr>
      </w:pPr>
      <w:r>
        <w:rPr>
          <w:rFonts w:ascii="Work Sans" w:hAnsi="Work Sans"/>
          <w:b/>
          <w:color w:val="000000"/>
          <w:sz w:val="28"/>
          <w:szCs w:val="28"/>
        </w:rPr>
        <w:t>Disease Cycle</w:t>
      </w:r>
    </w:p>
    <w:p w14:paraId="09090481" w14:textId="68327439" w:rsidR="008E52E3" w:rsidRPr="00473CFB" w:rsidRDefault="004D0EAD" w:rsidP="00473CFB">
      <w:pPr>
        <w:rPr>
          <w:rFonts w:ascii="Lora" w:hAnsi="Lora" w:cs="Times New Roman"/>
        </w:rPr>
      </w:pPr>
      <w:r w:rsidRPr="004D0EAD">
        <w:rPr>
          <w:rFonts w:ascii="Lora" w:hAnsi="Lora" w:cs="Times New Roman"/>
        </w:rPr>
        <w:t>The disease develops on the leaves of azalea. The severity of symptoms varies depending on the weather conditions. Spores are produced on the leaves during the spring and summer. The spores are dispersed on air currents and splashed by rain drops on to healthy leaves where they can cause new infections. This normally occurs during cool, wet weather. The symptomatic galls are not visible until the following spring.</w:t>
      </w:r>
    </w:p>
    <w:p w14:paraId="103FDF25" w14:textId="5F24105E" w:rsidR="00473CFB" w:rsidRPr="00EB0C0D" w:rsidRDefault="00712DAC" w:rsidP="00EB0C0D">
      <w:pPr>
        <w:spacing w:after="120"/>
        <w:rPr>
          <w:rFonts w:ascii="Work Sans" w:hAnsi="Work Sans"/>
          <w:b/>
          <w:color w:val="000000"/>
          <w:sz w:val="28"/>
          <w:szCs w:val="28"/>
        </w:rPr>
      </w:pPr>
      <w:r w:rsidRPr="00117CDE">
        <w:rPr>
          <w:rFonts w:ascii="Work Sans" w:hAnsi="Work Sans"/>
          <w:b/>
          <w:color w:val="000000"/>
          <w:sz w:val="28"/>
          <w:szCs w:val="28"/>
        </w:rPr>
        <w:t>Management Strategies</w:t>
      </w:r>
      <w:r w:rsidR="009D7FC0" w:rsidRPr="009D7FC0">
        <w:rPr>
          <w:rFonts w:ascii="Lora" w:hAnsi="Lora" w:cs="Times New Roman"/>
        </w:rPr>
        <w:t xml:space="preserve"> </w:t>
      </w:r>
    </w:p>
    <w:p w14:paraId="2DAA894A" w14:textId="47DDF626" w:rsidR="001E4BDD" w:rsidRDefault="001E4BDD" w:rsidP="004D0EAD">
      <w:pPr>
        <w:rPr>
          <w:rFonts w:ascii="Lora" w:hAnsi="Lora" w:cs="Times New Roman"/>
        </w:rPr>
      </w:pPr>
      <w:r w:rsidRPr="001E4BDD">
        <w:rPr>
          <w:rFonts w:ascii="Lora" w:hAnsi="Lora" w:cs="Times New Roman"/>
        </w:rPr>
        <w:t xml:space="preserve">To control this problem, the galls should be </w:t>
      </w:r>
      <w:r w:rsidR="00696796" w:rsidRPr="001E4BDD">
        <w:rPr>
          <w:rFonts w:ascii="Lora" w:hAnsi="Lora" w:cs="Times New Roman"/>
        </w:rPr>
        <w:t>handpicked</w:t>
      </w:r>
      <w:r w:rsidRPr="001E4BDD">
        <w:rPr>
          <w:rFonts w:ascii="Lora" w:hAnsi="Lora" w:cs="Times New Roman"/>
        </w:rPr>
        <w:t xml:space="preserve"> and destroyed before they turn white. Some fungicides are registered to help manage this problem in plantings in New York, but most are restricted-use fungicides and not curative. Removal of galls and/or applying fungicides as a preventative treatment is </w:t>
      </w:r>
      <w:r w:rsidRPr="001E4BDD">
        <w:rPr>
          <w:rFonts w:ascii="Lora" w:hAnsi="Lora" w:cs="Times New Roman"/>
        </w:rPr>
        <w:lastRenderedPageBreak/>
        <w:t xml:space="preserve">recommended, and for small plantings, hand removal of galls may still be the most viable option. For commercial applications in New York, please refer to the appropriate pest management guidelines. </w:t>
      </w:r>
    </w:p>
    <w:p w14:paraId="308343EB" w14:textId="30E2FEF8" w:rsidR="0013026F" w:rsidRDefault="001E4BDD" w:rsidP="00873866">
      <w:pPr>
        <w:rPr>
          <w:rFonts w:ascii="Lora" w:hAnsi="Lora" w:cs="Times New Roman"/>
        </w:rPr>
        <w:sectPr w:rsidR="0013026F" w:rsidSect="00437088">
          <w:type w:val="continuous"/>
          <w:pgSz w:w="12240" w:h="15840"/>
          <w:pgMar w:top="720" w:right="720" w:bottom="720" w:left="720" w:header="720" w:footer="720" w:gutter="0"/>
          <w:cols w:num="2" w:space="720"/>
          <w:docGrid w:linePitch="360"/>
        </w:sectPr>
      </w:pPr>
      <w:r w:rsidRPr="001E4BDD">
        <w:rPr>
          <w:rFonts w:ascii="Lora" w:hAnsi="Lora" w:cs="Times New Roman"/>
        </w:rPr>
        <w:t xml:space="preserve">Most native and horticultural azalea and rhododendron plants are susceptible. Some </w:t>
      </w:r>
      <w:r w:rsidRPr="001E4BDD">
        <w:rPr>
          <w:rFonts w:ascii="Lora" w:hAnsi="Lora" w:cs="Times New Roman"/>
        </w:rPr>
        <w:t xml:space="preserve">species and cultivars are more susceptible than others. </w:t>
      </w:r>
      <w:r w:rsidRPr="001E4BDD">
        <w:rPr>
          <w:rFonts w:ascii="Lora" w:hAnsi="Lora" w:cs="Times New Roman"/>
          <w:i/>
          <w:iCs/>
        </w:rPr>
        <w:t xml:space="preserve">Rhododendron </w:t>
      </w:r>
      <w:proofErr w:type="spellStart"/>
      <w:r w:rsidRPr="001E4BDD">
        <w:rPr>
          <w:rFonts w:ascii="Lora" w:hAnsi="Lora" w:cs="Times New Roman"/>
          <w:i/>
          <w:iCs/>
        </w:rPr>
        <w:t>maxium</w:t>
      </w:r>
      <w:proofErr w:type="spellEnd"/>
      <w:r w:rsidRPr="001E4BDD">
        <w:rPr>
          <w:rFonts w:ascii="Lora" w:hAnsi="Lora" w:cs="Times New Roman"/>
          <w:i/>
          <w:iCs/>
        </w:rPr>
        <w:t xml:space="preserve"> L., R. </w:t>
      </w:r>
      <w:proofErr w:type="spellStart"/>
      <w:r w:rsidRPr="001E4BDD">
        <w:rPr>
          <w:rFonts w:ascii="Lora" w:hAnsi="Lora" w:cs="Times New Roman"/>
          <w:i/>
          <w:iCs/>
        </w:rPr>
        <w:t>catawbiense</w:t>
      </w:r>
      <w:proofErr w:type="spellEnd"/>
      <w:r w:rsidRPr="001E4BDD">
        <w:rPr>
          <w:rFonts w:ascii="Lora" w:hAnsi="Lora" w:cs="Times New Roman"/>
          <w:i/>
          <w:iCs/>
        </w:rPr>
        <w:t xml:space="preserve"> </w:t>
      </w:r>
      <w:proofErr w:type="spellStart"/>
      <w:r w:rsidRPr="001E4BDD">
        <w:rPr>
          <w:rFonts w:ascii="Lora" w:hAnsi="Lora" w:cs="Times New Roman"/>
          <w:i/>
          <w:iCs/>
        </w:rPr>
        <w:t>Michx</w:t>
      </w:r>
      <w:proofErr w:type="spellEnd"/>
      <w:r w:rsidRPr="001E4BDD">
        <w:rPr>
          <w:rFonts w:ascii="Lora" w:hAnsi="Lora" w:cs="Times New Roman"/>
        </w:rPr>
        <w:t>, and their hybrids, are listed as being particularly susceptible, as are the Indica azalea group. Susceptible plants growing in poorly aerated soils are more subject to infection by the fungus than those growing in well-aerated soils.</w:t>
      </w:r>
    </w:p>
    <w:p w14:paraId="3B8B60A6" w14:textId="77777777" w:rsidR="009918DC" w:rsidRDefault="009918DC" w:rsidP="007F53B5">
      <w:pPr>
        <w:jc w:val="center"/>
        <w:rPr>
          <w:rFonts w:ascii="Lora" w:hAnsi="Lora" w:cs="Times New Roman"/>
        </w:rPr>
      </w:pPr>
    </w:p>
    <w:p w14:paraId="78586A7C" w14:textId="77777777" w:rsidR="0063693D" w:rsidRDefault="0063693D" w:rsidP="00724758">
      <w:pPr>
        <w:pStyle w:val="NormalWeb"/>
        <w:spacing w:after="120" w:afterAutospacing="0"/>
        <w:rPr>
          <w:rFonts w:ascii="Work Sans" w:hAnsi="Work Sans"/>
          <w:b/>
          <w:color w:val="000000"/>
          <w:sz w:val="28"/>
          <w:szCs w:val="28"/>
        </w:rPr>
      </w:pPr>
    </w:p>
    <w:p w14:paraId="08444228" w14:textId="77777777" w:rsidR="00A17C26" w:rsidRPr="00724758" w:rsidRDefault="00A17C26" w:rsidP="00A17C26">
      <w:pPr>
        <w:pStyle w:val="NormalWeb"/>
        <w:spacing w:after="120" w:afterAutospacing="0"/>
        <w:rPr>
          <w:rFonts w:ascii="Lora" w:hAnsi="Lora"/>
          <w:color w:val="000000"/>
          <w:sz w:val="22"/>
          <w:szCs w:val="22"/>
        </w:rPr>
      </w:pPr>
      <w:r>
        <w:rPr>
          <w:rFonts w:ascii="Work Sans" w:hAnsi="Work Sans"/>
          <w:b/>
          <w:color w:val="000000"/>
          <w:sz w:val="28"/>
          <w:szCs w:val="28"/>
        </w:rPr>
        <w:t>Update</w:t>
      </w:r>
      <w:r w:rsidRPr="00FB0F94">
        <w:rPr>
          <w:rFonts w:ascii="Work Sans" w:hAnsi="Work Sans"/>
          <w:b/>
          <w:color w:val="000000"/>
          <w:sz w:val="28"/>
          <w:szCs w:val="28"/>
        </w:rPr>
        <w:t>d by</w:t>
      </w:r>
      <w:r w:rsidRPr="00724758">
        <w:rPr>
          <w:rFonts w:ascii="Lora" w:hAnsi="Lora"/>
          <w:b/>
          <w:color w:val="000000"/>
          <w:sz w:val="22"/>
          <w:szCs w:val="22"/>
        </w:rPr>
        <w:t xml:space="preserve"> </w:t>
      </w:r>
      <w:r>
        <w:rPr>
          <w:rFonts w:ascii="Lora" w:hAnsi="Lora"/>
          <w:bCs/>
          <w:color w:val="000000"/>
          <w:sz w:val="22"/>
          <w:szCs w:val="22"/>
        </w:rPr>
        <w:t>SLJ2 &amp; LG658, October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44BE7125"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8E4EC3">
        <w:rPr>
          <w:rFonts w:ascii="Lora" w:hAnsi="Lora"/>
          <w:color w:val="000000"/>
        </w:rPr>
        <w:fldChar w:fldCharType="begin"/>
      </w:r>
      <w:r w:rsidR="008E4EC3">
        <w:rPr>
          <w:rFonts w:ascii="Lora" w:hAnsi="Lora"/>
          <w:color w:val="000000"/>
        </w:rPr>
        <w:instrText>HYPERLINK "mailto:</w:instrText>
      </w:r>
      <w:r w:rsidR="008E4EC3" w:rsidRPr="008E4EC3">
        <w:rPr>
          <w:rFonts w:ascii="Lora" w:hAnsi="Lora"/>
          <w:color w:val="000000"/>
        </w:rPr>
        <w:instrText>Cornell-plantdiseaseclinic@cornell.edu</w:instrText>
      </w:r>
      <w:r w:rsidR="008E4EC3">
        <w:rPr>
          <w:rFonts w:ascii="Lora" w:hAnsi="Lora"/>
          <w:color w:val="000000"/>
        </w:rPr>
        <w:instrText>"</w:instrText>
      </w:r>
      <w:r w:rsidR="008E4EC3">
        <w:rPr>
          <w:rFonts w:ascii="Lora" w:hAnsi="Lora"/>
          <w:color w:val="000000"/>
        </w:rPr>
      </w:r>
      <w:r w:rsidR="008E4EC3">
        <w:rPr>
          <w:rFonts w:ascii="Lora" w:hAnsi="Lora"/>
          <w:color w:val="000000"/>
        </w:rPr>
        <w:fldChar w:fldCharType="separate"/>
      </w:r>
      <w:r w:rsidR="008E4EC3" w:rsidRPr="00DB75F4">
        <w:rPr>
          <w:rStyle w:val="Hyperlink"/>
          <w:rFonts w:ascii="Lora" w:hAnsi="Lora"/>
        </w:rPr>
        <w:t>Cornell-plantdiseaseclinic@cornell.edu</w:t>
      </w:r>
      <w:bookmarkEnd w:id="1"/>
      <w:r w:rsidR="008E4EC3">
        <w:rPr>
          <w:rFonts w:ascii="Lora" w:hAnsi="Lora"/>
          <w:color w:val="000000"/>
        </w:rPr>
        <w:fldChar w:fldCharType="end"/>
      </w:r>
      <w:r w:rsidR="003D7E09">
        <w:rPr>
          <w:rFonts w:ascii="Lora" w:hAnsi="Lora"/>
          <w:color w:val="000000"/>
        </w:rPr>
        <w:t>,</w:t>
      </w:r>
    </w:p>
    <w:p w14:paraId="5BFCA701" w14:textId="08FB5FCB" w:rsidR="00A62DA2" w:rsidRPr="003D7E09" w:rsidRDefault="00982A07" w:rsidP="003D7E09">
      <w:pPr>
        <w:spacing w:after="0"/>
        <w:rPr>
          <w:rFonts w:ascii="Lora" w:hAnsi="Lora"/>
          <w:color w:val="000000"/>
        </w:rPr>
        <w:sectPr w:rsidR="00A62DA2" w:rsidRPr="003D7E09" w:rsidSect="00437088">
          <w:type w:val="continuous"/>
          <w:pgSz w:w="12240" w:h="15840"/>
          <w:pgMar w:top="720" w:right="720" w:bottom="720" w:left="720" w:header="720" w:footer="720" w:gutter="0"/>
          <w:cols w:space="720"/>
          <w:docGrid w:linePitch="360"/>
        </w:sectPr>
      </w:pPr>
      <w:r w:rsidRPr="00117CDE">
        <w:rPr>
          <w:rFonts w:ascii="Lora" w:hAnsi="Lora"/>
          <w:color w:val="000000"/>
        </w:rPr>
        <w:t xml:space="preserve">Web: </w:t>
      </w:r>
      <w:hyperlink r:id="rId8" w:history="1">
        <w:r w:rsidRPr="00A62DA2">
          <w:rPr>
            <w:rStyle w:val="Hyperlink"/>
            <w:rFonts w:ascii="Lora" w:hAnsi="Lora"/>
          </w:rPr>
          <w:t>plantclinic.cornell.ed</w:t>
        </w:r>
        <w:r w:rsidR="00117CDE" w:rsidRPr="00A62DA2">
          <w:rPr>
            <w:rStyle w:val="Hyperlink"/>
            <w:rFonts w:ascii="Lora" w:hAnsi="Lora"/>
          </w:rPr>
          <w:t>u</w:t>
        </w:r>
      </w:hyperlink>
      <w:bookmarkEnd w:id="0"/>
    </w:p>
    <w:p w14:paraId="073E9F93" w14:textId="42587105" w:rsidR="00DD02DC" w:rsidRPr="00712DAC" w:rsidRDefault="00DD02DC" w:rsidP="003D7E09">
      <w:pPr>
        <w:rPr>
          <w:rFonts w:ascii="Work Sans" w:hAnsi="Work Sans"/>
          <w:sz w:val="36"/>
          <w:szCs w:val="36"/>
        </w:rPr>
      </w:pPr>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1540">
    <w:abstractNumId w:val="1"/>
  </w:num>
  <w:num w:numId="2" w16cid:durableId="20967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15D46"/>
    <w:rsid w:val="00017DA2"/>
    <w:rsid w:val="00050B67"/>
    <w:rsid w:val="00086928"/>
    <w:rsid w:val="00094B24"/>
    <w:rsid w:val="000A02AC"/>
    <w:rsid w:val="000C3797"/>
    <w:rsid w:val="000D64CA"/>
    <w:rsid w:val="000F06D2"/>
    <w:rsid w:val="00117CDE"/>
    <w:rsid w:val="0013026F"/>
    <w:rsid w:val="00141E2E"/>
    <w:rsid w:val="001433B4"/>
    <w:rsid w:val="0016552F"/>
    <w:rsid w:val="00193051"/>
    <w:rsid w:val="001A1913"/>
    <w:rsid w:val="001A1A8C"/>
    <w:rsid w:val="001B6921"/>
    <w:rsid w:val="001E4BDD"/>
    <w:rsid w:val="0022664F"/>
    <w:rsid w:val="00232B42"/>
    <w:rsid w:val="002428A1"/>
    <w:rsid w:val="00245CF4"/>
    <w:rsid w:val="00273397"/>
    <w:rsid w:val="00297543"/>
    <w:rsid w:val="002A788C"/>
    <w:rsid w:val="00311275"/>
    <w:rsid w:val="00320FFA"/>
    <w:rsid w:val="0033518B"/>
    <w:rsid w:val="0033776F"/>
    <w:rsid w:val="003621F8"/>
    <w:rsid w:val="00365D0E"/>
    <w:rsid w:val="00383002"/>
    <w:rsid w:val="00384F40"/>
    <w:rsid w:val="003B754B"/>
    <w:rsid w:val="003C4E17"/>
    <w:rsid w:val="003D6C2B"/>
    <w:rsid w:val="003D7E09"/>
    <w:rsid w:val="0042353D"/>
    <w:rsid w:val="00437088"/>
    <w:rsid w:val="004474E1"/>
    <w:rsid w:val="00466E05"/>
    <w:rsid w:val="00470C2F"/>
    <w:rsid w:val="00473CFB"/>
    <w:rsid w:val="0047553D"/>
    <w:rsid w:val="004778F5"/>
    <w:rsid w:val="004C536B"/>
    <w:rsid w:val="004D0EAD"/>
    <w:rsid w:val="004D3299"/>
    <w:rsid w:val="00500C3D"/>
    <w:rsid w:val="00577F52"/>
    <w:rsid w:val="00582EEA"/>
    <w:rsid w:val="0058677B"/>
    <w:rsid w:val="005D18BA"/>
    <w:rsid w:val="005E4CFA"/>
    <w:rsid w:val="005F7428"/>
    <w:rsid w:val="00601889"/>
    <w:rsid w:val="0063693D"/>
    <w:rsid w:val="00640C1A"/>
    <w:rsid w:val="00656172"/>
    <w:rsid w:val="00661280"/>
    <w:rsid w:val="00676BE3"/>
    <w:rsid w:val="00677603"/>
    <w:rsid w:val="0068737A"/>
    <w:rsid w:val="00692AC8"/>
    <w:rsid w:val="006960F2"/>
    <w:rsid w:val="00696796"/>
    <w:rsid w:val="006B7882"/>
    <w:rsid w:val="006C4487"/>
    <w:rsid w:val="006E4AC9"/>
    <w:rsid w:val="006F60A1"/>
    <w:rsid w:val="00705948"/>
    <w:rsid w:val="00712DAC"/>
    <w:rsid w:val="00714699"/>
    <w:rsid w:val="00722EC6"/>
    <w:rsid w:val="00724758"/>
    <w:rsid w:val="007270A2"/>
    <w:rsid w:val="0073478B"/>
    <w:rsid w:val="00773FF9"/>
    <w:rsid w:val="007860DB"/>
    <w:rsid w:val="007B40A9"/>
    <w:rsid w:val="007D4341"/>
    <w:rsid w:val="007D654A"/>
    <w:rsid w:val="007F53B5"/>
    <w:rsid w:val="007F7373"/>
    <w:rsid w:val="008508C6"/>
    <w:rsid w:val="00855099"/>
    <w:rsid w:val="00873866"/>
    <w:rsid w:val="00896C25"/>
    <w:rsid w:val="008C4318"/>
    <w:rsid w:val="008E4EC3"/>
    <w:rsid w:val="008E52E3"/>
    <w:rsid w:val="008E6118"/>
    <w:rsid w:val="009070B5"/>
    <w:rsid w:val="00920AF7"/>
    <w:rsid w:val="00957FA9"/>
    <w:rsid w:val="00960A0B"/>
    <w:rsid w:val="009662F3"/>
    <w:rsid w:val="00981BBA"/>
    <w:rsid w:val="00982A07"/>
    <w:rsid w:val="009918DC"/>
    <w:rsid w:val="009C0695"/>
    <w:rsid w:val="009D7FC0"/>
    <w:rsid w:val="00A17C26"/>
    <w:rsid w:val="00A62DA2"/>
    <w:rsid w:val="00A72146"/>
    <w:rsid w:val="00A96D02"/>
    <w:rsid w:val="00AC0740"/>
    <w:rsid w:val="00AC771A"/>
    <w:rsid w:val="00AC7DAF"/>
    <w:rsid w:val="00AF46BB"/>
    <w:rsid w:val="00AF6A93"/>
    <w:rsid w:val="00B057EE"/>
    <w:rsid w:val="00B256FC"/>
    <w:rsid w:val="00B439EC"/>
    <w:rsid w:val="00B47C1A"/>
    <w:rsid w:val="00B5321F"/>
    <w:rsid w:val="00B773D7"/>
    <w:rsid w:val="00B87AF6"/>
    <w:rsid w:val="00B96351"/>
    <w:rsid w:val="00BC26F2"/>
    <w:rsid w:val="00BD60CA"/>
    <w:rsid w:val="00BF4746"/>
    <w:rsid w:val="00BF69EB"/>
    <w:rsid w:val="00C243C4"/>
    <w:rsid w:val="00C554EE"/>
    <w:rsid w:val="00C60942"/>
    <w:rsid w:val="00C61F77"/>
    <w:rsid w:val="00C80312"/>
    <w:rsid w:val="00CA1346"/>
    <w:rsid w:val="00CB15FE"/>
    <w:rsid w:val="00CF6721"/>
    <w:rsid w:val="00D146BE"/>
    <w:rsid w:val="00D55519"/>
    <w:rsid w:val="00D70790"/>
    <w:rsid w:val="00D8288E"/>
    <w:rsid w:val="00DC21C2"/>
    <w:rsid w:val="00DD02DC"/>
    <w:rsid w:val="00DD343C"/>
    <w:rsid w:val="00DF1B9E"/>
    <w:rsid w:val="00E32C02"/>
    <w:rsid w:val="00E56368"/>
    <w:rsid w:val="00E617D0"/>
    <w:rsid w:val="00E72037"/>
    <w:rsid w:val="00E74566"/>
    <w:rsid w:val="00E83159"/>
    <w:rsid w:val="00E942EB"/>
    <w:rsid w:val="00EB0C0D"/>
    <w:rsid w:val="00EB3366"/>
    <w:rsid w:val="00ED753D"/>
    <w:rsid w:val="00EE31A4"/>
    <w:rsid w:val="00EE4FBD"/>
    <w:rsid w:val="00F04F8E"/>
    <w:rsid w:val="00F24C99"/>
    <w:rsid w:val="00F87862"/>
    <w:rsid w:val="00FB0F94"/>
    <w:rsid w:val="00FB2896"/>
    <w:rsid w:val="00FB6C9D"/>
    <w:rsid w:val="00FC5CED"/>
    <w:rsid w:val="00FE0D3C"/>
    <w:rsid w:val="00FF1881"/>
    <w:rsid w:val="00FF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lj2\Desktop\2024%20Web%20site%20fact%20sheets%20etc\2024%20Fact%20sheets%20in%20WORD\plantclinic.cornell.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5</cp:revision>
  <cp:lastPrinted>2018-08-22T19:02:00Z</cp:lastPrinted>
  <dcterms:created xsi:type="dcterms:W3CDTF">2024-10-25T19:38:00Z</dcterms:created>
  <dcterms:modified xsi:type="dcterms:W3CDTF">2024-12-03T20:24:00Z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653dbecc367925eaf68bb7b544aaa82cec88839570ba25394097344caf3368b2</vt:lpwstr>
  </property>
</Properties>
</file>