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7216"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24008837" w:rsidR="00676BE3" w:rsidRPr="00947648" w:rsidRDefault="004E4DF3">
      <w:pPr>
        <w:rPr>
          <w:rFonts w:ascii="Work Sans" w:hAnsi="Work Sans"/>
          <w:i/>
          <w:color w:val="000000" w:themeColor="text1"/>
          <w:sz w:val="36"/>
          <w:szCs w:val="36"/>
        </w:rPr>
        <w:sectPr w:rsidR="00676BE3" w:rsidRPr="00947648" w:rsidSect="00437088">
          <w:pgSz w:w="12240" w:h="15840"/>
          <w:pgMar w:top="720" w:right="720" w:bottom="720" w:left="720" w:header="720" w:footer="720" w:gutter="0"/>
          <w:cols w:space="720"/>
          <w:docGrid w:linePitch="360"/>
        </w:sectPr>
      </w:pPr>
      <w:r w:rsidRPr="004E4DF3">
        <w:rPr>
          <w:rFonts w:ascii="Work Sans" w:hAnsi="Work Sans"/>
          <w:b/>
          <w:color w:val="000000" w:themeColor="text1"/>
          <w:sz w:val="44"/>
          <w:szCs w:val="44"/>
        </w:rPr>
        <w:t>Dollar Spot on Turfgrass</w:t>
      </w:r>
      <w:r w:rsidR="006E359A">
        <w:rPr>
          <w:rFonts w:ascii="Work Sans" w:hAnsi="Work Sans"/>
          <w:b/>
          <w:color w:val="000000" w:themeColor="text1"/>
          <w:sz w:val="44"/>
          <w:szCs w:val="44"/>
        </w:rPr>
        <w:t xml:space="preserve">: </w:t>
      </w:r>
      <w:proofErr w:type="spellStart"/>
      <w:r w:rsidRPr="004E4DF3">
        <w:rPr>
          <w:rFonts w:ascii="Work Sans" w:hAnsi="Work Sans"/>
          <w:i/>
          <w:color w:val="000000" w:themeColor="text1"/>
          <w:sz w:val="36"/>
          <w:szCs w:val="36"/>
        </w:rPr>
        <w:t>Clarireedia</w:t>
      </w:r>
      <w:proofErr w:type="spellEnd"/>
      <w:r w:rsidRPr="004E4DF3">
        <w:rPr>
          <w:rFonts w:ascii="Work Sans" w:hAnsi="Work Sans"/>
          <w:i/>
          <w:color w:val="000000" w:themeColor="text1"/>
          <w:sz w:val="36"/>
          <w:szCs w:val="36"/>
        </w:rPr>
        <w:t xml:space="preserve"> </w:t>
      </w:r>
      <w:proofErr w:type="spellStart"/>
      <w:r w:rsidRPr="004E4DF3">
        <w:rPr>
          <w:rFonts w:ascii="Work Sans" w:hAnsi="Work Sans"/>
          <w:i/>
          <w:color w:val="000000" w:themeColor="text1"/>
          <w:sz w:val="36"/>
          <w:szCs w:val="36"/>
        </w:rPr>
        <w:t>homeocarpa</w:t>
      </w:r>
      <w:proofErr w:type="spellEnd"/>
      <w:r w:rsidRPr="004E4DF3">
        <w:rPr>
          <w:rFonts w:ascii="Work Sans" w:hAnsi="Work Sans"/>
          <w:i/>
          <w:color w:val="000000" w:themeColor="text1"/>
          <w:sz w:val="36"/>
          <w:szCs w:val="36"/>
        </w:rPr>
        <w:t xml:space="preserve"> (formerly Sclerotinia </w:t>
      </w:r>
      <w:proofErr w:type="spellStart"/>
      <w:r w:rsidRPr="004E4DF3">
        <w:rPr>
          <w:rFonts w:ascii="Work Sans" w:hAnsi="Work Sans"/>
          <w:i/>
          <w:color w:val="000000" w:themeColor="text1"/>
          <w:sz w:val="36"/>
          <w:szCs w:val="36"/>
        </w:rPr>
        <w:t>homeocarpa</w:t>
      </w:r>
      <w:proofErr w:type="spellEnd"/>
      <w:r w:rsidRPr="004E4DF3">
        <w:rPr>
          <w:rFonts w:ascii="Work Sans" w:hAnsi="Work Sans"/>
          <w:i/>
          <w:color w:val="000000" w:themeColor="text1"/>
          <w:sz w:val="36"/>
          <w:szCs w:val="36"/>
        </w:rPr>
        <w:t>)</w:t>
      </w:r>
    </w:p>
    <w:p w14:paraId="14B3778E" w14:textId="12E176BF" w:rsidR="001E490B" w:rsidRDefault="001E490B" w:rsidP="00451057">
      <w:pPr>
        <w:spacing w:after="120"/>
        <w:rPr>
          <w:rFonts w:ascii="Work Sans" w:hAnsi="Work Sans"/>
          <w:b/>
          <w:color w:val="000000" w:themeColor="text1"/>
          <w:sz w:val="28"/>
          <w:szCs w:val="28"/>
        </w:rPr>
      </w:pPr>
      <w:r w:rsidRPr="009E36A7">
        <w:rPr>
          <w:rFonts w:ascii="Work Sans" w:hAnsi="Work Sans"/>
          <w:b/>
          <w:color w:val="000000" w:themeColor="text1"/>
          <w:sz w:val="28"/>
          <w:szCs w:val="28"/>
        </w:rPr>
        <w:t>Introduction</w:t>
      </w:r>
    </w:p>
    <w:p w14:paraId="4393A943" w14:textId="6509C65D" w:rsidR="0028403F" w:rsidRPr="0068649A" w:rsidRDefault="00D6660E" w:rsidP="00F657FA">
      <w:pPr>
        <w:spacing w:after="120"/>
        <w:rPr>
          <w:rFonts w:ascii="Lora" w:hAnsi="Lora"/>
        </w:rPr>
      </w:pPr>
      <w:r w:rsidRPr="00D6660E">
        <w:rPr>
          <w:rFonts w:ascii="Lora" w:hAnsi="Lora"/>
        </w:rPr>
        <w:t>The disease name is derived from the dead straw</w:t>
      </w:r>
      <w:r>
        <w:rPr>
          <w:rFonts w:ascii="Lora" w:hAnsi="Lora"/>
        </w:rPr>
        <w:t>-</w:t>
      </w:r>
      <w:r w:rsidRPr="00D6660E">
        <w:rPr>
          <w:rFonts w:ascii="Lora" w:hAnsi="Lora"/>
        </w:rPr>
        <w:t>colored spots about the size of a silver dollar on close</w:t>
      </w:r>
      <w:r>
        <w:rPr>
          <w:rFonts w:ascii="Lora" w:hAnsi="Lora"/>
        </w:rPr>
        <w:t>-</w:t>
      </w:r>
      <w:r w:rsidRPr="00D6660E">
        <w:rPr>
          <w:rFonts w:ascii="Lora" w:hAnsi="Lora"/>
        </w:rPr>
        <w:t xml:space="preserve">cut </w:t>
      </w:r>
      <w:proofErr w:type="spellStart"/>
      <w:r w:rsidRPr="00D6660E">
        <w:rPr>
          <w:rFonts w:ascii="Lora" w:hAnsi="Lora"/>
        </w:rPr>
        <w:t>bentgrass</w:t>
      </w:r>
      <w:proofErr w:type="spellEnd"/>
      <w:r w:rsidRPr="00D6660E">
        <w:rPr>
          <w:rFonts w:ascii="Lora" w:hAnsi="Lora"/>
        </w:rPr>
        <w:t xml:space="preserve"> putting greens. Dollar spot may persist from early summer until early fall, and its incidence seems to be higher in seasons with low rainfall, presumably from the adverse effect of low soil moisture on host plants. It occurs on bluegrasses, </w:t>
      </w:r>
      <w:proofErr w:type="spellStart"/>
      <w:r w:rsidRPr="00D6660E">
        <w:rPr>
          <w:rFonts w:ascii="Lora" w:hAnsi="Lora"/>
        </w:rPr>
        <w:t>bentgrasses</w:t>
      </w:r>
      <w:proofErr w:type="spellEnd"/>
      <w:r w:rsidRPr="00D6660E">
        <w:rPr>
          <w:rFonts w:ascii="Lora" w:hAnsi="Lora"/>
        </w:rPr>
        <w:t>, fescues, and zoysia. The classif</w:t>
      </w:r>
      <w:r>
        <w:rPr>
          <w:rFonts w:ascii="Lora" w:hAnsi="Lora"/>
        </w:rPr>
        <w:t>i</w:t>
      </w:r>
      <w:r w:rsidRPr="00D6660E">
        <w:rPr>
          <w:rFonts w:ascii="Lora" w:hAnsi="Lora"/>
        </w:rPr>
        <w:t>cation of the pathogen that causes dollar spot has undergone numerous changes</w:t>
      </w:r>
    </w:p>
    <w:p w14:paraId="17DCFBE6" w14:textId="3975F615" w:rsidR="001E3DB0" w:rsidRPr="003120C2" w:rsidRDefault="009E36A7" w:rsidP="001E3DB0">
      <w:pPr>
        <w:spacing w:after="120"/>
        <w:rPr>
          <w:rFonts w:ascii="Work Sans" w:hAnsi="Work Sans"/>
          <w:b/>
          <w:color w:val="000000" w:themeColor="text1"/>
          <w:sz w:val="28"/>
          <w:szCs w:val="28"/>
        </w:rPr>
      </w:pPr>
      <w:r>
        <w:rPr>
          <w:rFonts w:ascii="Work Sans" w:hAnsi="Work Sans"/>
          <w:b/>
          <w:color w:val="000000" w:themeColor="text1"/>
          <w:sz w:val="28"/>
          <w:szCs w:val="28"/>
        </w:rPr>
        <w:t>Symptoms</w:t>
      </w:r>
      <w:r w:rsidR="00D6660E">
        <w:rPr>
          <w:rFonts w:ascii="Work Sans" w:hAnsi="Work Sans"/>
          <w:b/>
          <w:color w:val="000000" w:themeColor="text1"/>
          <w:sz w:val="28"/>
          <w:szCs w:val="28"/>
        </w:rPr>
        <w:t xml:space="preserve"> and signs</w:t>
      </w:r>
    </w:p>
    <w:p w14:paraId="19C12898" w14:textId="6DE8CD15" w:rsidR="00D6660E" w:rsidRDefault="00B402F1" w:rsidP="001E3DB0">
      <w:pPr>
        <w:spacing w:after="120"/>
        <w:rPr>
          <w:rFonts w:ascii="Lora" w:hAnsi="Lora"/>
        </w:rPr>
      </w:pPr>
      <w:r w:rsidRPr="00B402F1">
        <w:rPr>
          <w:rFonts w:ascii="Lora" w:hAnsi="Lora"/>
        </w:rPr>
        <w:t>The pattern of symptoms depends largely on mowing practices. Under close mowing conditions</w:t>
      </w:r>
      <w:r w:rsidR="008400D9">
        <w:rPr>
          <w:rFonts w:ascii="Lora" w:hAnsi="Lora"/>
        </w:rPr>
        <w:t>,</w:t>
      </w:r>
      <w:r w:rsidRPr="00B402F1">
        <w:rPr>
          <w:rFonts w:ascii="Lora" w:hAnsi="Lora"/>
        </w:rPr>
        <w:t xml:space="preserve"> the circular straw-colored spots (3 to 6 cm in diameter) are distinctly outlined in the early stages of disease development (Fig. 1).</w:t>
      </w:r>
    </w:p>
    <w:p w14:paraId="00041C0C" w14:textId="7B84A317" w:rsidR="00197DDC" w:rsidRDefault="00B402F1" w:rsidP="001E3DB0">
      <w:pPr>
        <w:spacing w:after="120"/>
        <w:rPr>
          <w:rFonts w:ascii="Lora" w:hAnsi="Lora"/>
        </w:rPr>
      </w:pPr>
      <w:r w:rsidRPr="00B402F1">
        <w:rPr>
          <w:rFonts w:ascii="Lora" w:hAnsi="Lora"/>
          <w:noProof/>
        </w:rPr>
        <w:drawing>
          <wp:inline distT="0" distB="0" distL="0" distR="0" wp14:anchorId="2A7191E2" wp14:editId="10C4D950">
            <wp:extent cx="3200400" cy="2170430"/>
            <wp:effectExtent l="0" t="0" r="0" b="1270"/>
            <wp:docPr id="1666508340" name="Picture 1" descr="A coin o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508340" name="Picture 1" descr="A coin on the grass&#10;&#10;Description automatically generated"/>
                    <pic:cNvPicPr/>
                  </pic:nvPicPr>
                  <pic:blipFill>
                    <a:blip r:embed="rId6"/>
                    <a:stretch>
                      <a:fillRect/>
                    </a:stretch>
                  </pic:blipFill>
                  <pic:spPr>
                    <a:xfrm>
                      <a:off x="0" y="0"/>
                      <a:ext cx="3200400" cy="2170430"/>
                    </a:xfrm>
                    <a:prstGeom prst="rect">
                      <a:avLst/>
                    </a:prstGeom>
                  </pic:spPr>
                </pic:pic>
              </a:graphicData>
            </a:graphic>
          </wp:inline>
        </w:drawing>
      </w:r>
    </w:p>
    <w:p w14:paraId="2CFF4D4E" w14:textId="4CE7A66F" w:rsidR="00197DDC" w:rsidRDefault="00197DDC" w:rsidP="001E3DB0">
      <w:pPr>
        <w:spacing w:after="120"/>
        <w:rPr>
          <w:rFonts w:ascii="Lora" w:hAnsi="Lora"/>
          <w:sz w:val="20"/>
          <w:szCs w:val="20"/>
        </w:rPr>
      </w:pPr>
      <w:r w:rsidRPr="00197DDC">
        <w:rPr>
          <w:rFonts w:ascii="Lora" w:hAnsi="Lora"/>
          <w:sz w:val="20"/>
          <w:szCs w:val="20"/>
        </w:rPr>
        <w:t xml:space="preserve">Figure 1: </w:t>
      </w:r>
      <w:r w:rsidR="00B402F1" w:rsidRPr="00B402F1">
        <w:rPr>
          <w:rFonts w:ascii="Lora" w:hAnsi="Lora"/>
          <w:sz w:val="20"/>
          <w:szCs w:val="20"/>
        </w:rPr>
        <w:t>Physical damage of a ball mark vs. symptoms of dollar spot (provided by Karen L. Snover‐Cli</w:t>
      </w:r>
      <w:r w:rsidR="008400D9">
        <w:rPr>
          <w:rFonts w:ascii="Lora" w:hAnsi="Lora"/>
          <w:sz w:val="20"/>
          <w:szCs w:val="20"/>
        </w:rPr>
        <w:t>ft</w:t>
      </w:r>
      <w:r w:rsidR="00B402F1" w:rsidRPr="00B402F1">
        <w:rPr>
          <w:rFonts w:ascii="Lora" w:hAnsi="Lora"/>
          <w:sz w:val="20"/>
          <w:szCs w:val="20"/>
        </w:rPr>
        <w:t>, Cornell University)</w:t>
      </w:r>
      <w:r w:rsidR="00B402F1">
        <w:rPr>
          <w:rFonts w:ascii="Lora" w:hAnsi="Lora"/>
          <w:sz w:val="20"/>
          <w:szCs w:val="20"/>
        </w:rPr>
        <w:t>.</w:t>
      </w:r>
    </w:p>
    <w:p w14:paraId="50957733" w14:textId="1C2C4D49" w:rsidR="00CA0309" w:rsidRDefault="00D835D2" w:rsidP="001E3DB0">
      <w:pPr>
        <w:spacing w:after="120"/>
        <w:rPr>
          <w:rFonts w:ascii="Lora" w:hAnsi="Lora"/>
        </w:rPr>
      </w:pPr>
      <w:r w:rsidRPr="00D835D2">
        <w:rPr>
          <w:rFonts w:ascii="Lora" w:hAnsi="Lora"/>
        </w:rPr>
        <w:t>With higher cutting heights, the bleached turf spots are irregularly shaped. In the early morning, when dew is still on the grass, a white cobwebby growth of the fungus may be seen over the spot. Spots coalesce to cover large areas when the disease becomes severe. On individual grass blades the damaged tissues are f</w:t>
      </w:r>
      <w:r w:rsidR="000510B1">
        <w:rPr>
          <w:rFonts w:ascii="Lora" w:hAnsi="Lora"/>
        </w:rPr>
        <w:t>i</w:t>
      </w:r>
      <w:r w:rsidRPr="00D835D2">
        <w:rPr>
          <w:rFonts w:ascii="Lora" w:hAnsi="Lora"/>
        </w:rPr>
        <w:t>rst water-soaked and dark</w:t>
      </w:r>
      <w:r w:rsidR="000510B1">
        <w:rPr>
          <w:rFonts w:ascii="Lora" w:hAnsi="Lora"/>
        </w:rPr>
        <w:t>-</w:t>
      </w:r>
      <w:r w:rsidRPr="00D835D2">
        <w:rPr>
          <w:rFonts w:ascii="Lora" w:hAnsi="Lora"/>
        </w:rPr>
        <w:t xml:space="preserve">colored. As they dry, the lesions turn light tan to straw-colored with a reddish-brown border (Fig. </w:t>
      </w:r>
      <w:proofErr w:type="gramStart"/>
      <w:r w:rsidRPr="00D835D2">
        <w:rPr>
          <w:rFonts w:ascii="Lora" w:hAnsi="Lora"/>
        </w:rPr>
        <w:t>2 )</w:t>
      </w:r>
      <w:proofErr w:type="gramEnd"/>
      <w:r w:rsidRPr="00D835D2">
        <w:rPr>
          <w:rFonts w:ascii="Lora" w:hAnsi="Lora"/>
        </w:rPr>
        <w:t>. The lesions f</w:t>
      </w:r>
      <w:r w:rsidR="000510B1">
        <w:rPr>
          <w:rFonts w:ascii="Lora" w:hAnsi="Lora"/>
        </w:rPr>
        <w:t>i</w:t>
      </w:r>
      <w:r w:rsidRPr="00D835D2">
        <w:rPr>
          <w:rFonts w:ascii="Lora" w:hAnsi="Lora"/>
        </w:rPr>
        <w:t xml:space="preserve">rst occur randomly on the leaf blade, and then frequently extend across the entire blade. Older lesions may become quite long and cause blighting of the entire leaf or cut leaf end.  </w:t>
      </w:r>
    </w:p>
    <w:p w14:paraId="4EE113BB" w14:textId="64816603" w:rsidR="00431011" w:rsidRDefault="00D835D2" w:rsidP="001E3DB0">
      <w:pPr>
        <w:spacing w:after="120"/>
        <w:rPr>
          <w:rFonts w:ascii="Lora" w:hAnsi="Lora"/>
        </w:rPr>
      </w:pPr>
      <w:r w:rsidRPr="00D835D2">
        <w:rPr>
          <w:rFonts w:ascii="Lora" w:hAnsi="Lora"/>
          <w:noProof/>
        </w:rPr>
        <w:drawing>
          <wp:inline distT="0" distB="0" distL="0" distR="0" wp14:anchorId="53336C3D" wp14:editId="7B17AD2A">
            <wp:extent cx="3200400" cy="2171065"/>
            <wp:effectExtent l="0" t="0" r="0" b="635"/>
            <wp:docPr id="1942578989" name="Picture 1" descr="Several pieces of green gr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578989" name="Picture 1" descr="Several pieces of green grass&#10;&#10;Description automatically generated with medium confidence"/>
                    <pic:cNvPicPr/>
                  </pic:nvPicPr>
                  <pic:blipFill>
                    <a:blip r:embed="rId7"/>
                    <a:stretch>
                      <a:fillRect/>
                    </a:stretch>
                  </pic:blipFill>
                  <pic:spPr>
                    <a:xfrm>
                      <a:off x="0" y="0"/>
                      <a:ext cx="3200400" cy="2171065"/>
                    </a:xfrm>
                    <a:prstGeom prst="rect">
                      <a:avLst/>
                    </a:prstGeom>
                  </pic:spPr>
                </pic:pic>
              </a:graphicData>
            </a:graphic>
          </wp:inline>
        </w:drawing>
      </w:r>
    </w:p>
    <w:p w14:paraId="32B2EEDD" w14:textId="3C90C41D" w:rsidR="00431011" w:rsidRPr="004E70D3" w:rsidRDefault="00431011" w:rsidP="001E3DB0">
      <w:pPr>
        <w:spacing w:after="120"/>
        <w:rPr>
          <w:rFonts w:ascii="Lora" w:hAnsi="Lora"/>
          <w:sz w:val="20"/>
          <w:szCs w:val="20"/>
        </w:rPr>
      </w:pPr>
      <w:r w:rsidRPr="00431011">
        <w:rPr>
          <w:rFonts w:ascii="Lora" w:hAnsi="Lora"/>
          <w:sz w:val="20"/>
          <w:szCs w:val="20"/>
        </w:rPr>
        <w:t xml:space="preserve">Figure 2: </w:t>
      </w:r>
      <w:r w:rsidR="000510B1" w:rsidRPr="000510B1">
        <w:rPr>
          <w:rFonts w:ascii="Lora" w:hAnsi="Lora"/>
          <w:sz w:val="20"/>
          <w:szCs w:val="20"/>
        </w:rPr>
        <w:t>Disease symptoms on individual blades (provided by Dr. Eric B. Nelson, Cornell University)</w:t>
      </w:r>
      <w:r w:rsidR="000510B1">
        <w:rPr>
          <w:rFonts w:ascii="Lora" w:hAnsi="Lora"/>
          <w:sz w:val="20"/>
          <w:szCs w:val="20"/>
        </w:rPr>
        <w:t>.</w:t>
      </w:r>
    </w:p>
    <w:p w14:paraId="7B6E73CB" w14:textId="566A336F" w:rsidR="00586941" w:rsidRDefault="00586941" w:rsidP="00451057">
      <w:pPr>
        <w:spacing w:after="120"/>
        <w:rPr>
          <w:rFonts w:ascii="Work Sans" w:hAnsi="Work Sans"/>
          <w:b/>
          <w:color w:val="000000" w:themeColor="text1"/>
          <w:sz w:val="28"/>
          <w:szCs w:val="28"/>
        </w:rPr>
      </w:pPr>
      <w:r>
        <w:rPr>
          <w:rFonts w:ascii="Work Sans" w:hAnsi="Work Sans"/>
          <w:b/>
          <w:color w:val="000000" w:themeColor="text1"/>
          <w:sz w:val="28"/>
          <w:szCs w:val="28"/>
        </w:rPr>
        <w:t>Disease Cycle</w:t>
      </w:r>
    </w:p>
    <w:p w14:paraId="13E8077B" w14:textId="29339DD8" w:rsidR="00DC15FA" w:rsidRDefault="00F611C1" w:rsidP="00F00FBA">
      <w:pPr>
        <w:spacing w:after="120"/>
        <w:rPr>
          <w:rFonts w:ascii="Lora" w:hAnsi="Lora"/>
        </w:rPr>
      </w:pPr>
      <w:r w:rsidRPr="00F611C1">
        <w:rPr>
          <w:rFonts w:ascii="Lora" w:hAnsi="Lora"/>
        </w:rPr>
        <w:t xml:space="preserve">The fungus, </w:t>
      </w:r>
      <w:proofErr w:type="spellStart"/>
      <w:r w:rsidRPr="00F611C1">
        <w:rPr>
          <w:rFonts w:ascii="Lora" w:hAnsi="Lora"/>
          <w:i/>
          <w:iCs/>
        </w:rPr>
        <w:t>Clarireedia</w:t>
      </w:r>
      <w:proofErr w:type="spellEnd"/>
      <w:r w:rsidRPr="00F611C1">
        <w:rPr>
          <w:rFonts w:ascii="Lora" w:hAnsi="Lora"/>
          <w:i/>
          <w:iCs/>
        </w:rPr>
        <w:t xml:space="preserve"> </w:t>
      </w:r>
      <w:proofErr w:type="spellStart"/>
      <w:r w:rsidRPr="00F611C1">
        <w:rPr>
          <w:rFonts w:ascii="Lora" w:hAnsi="Lora"/>
          <w:i/>
          <w:iCs/>
        </w:rPr>
        <w:t>homoeocarpa</w:t>
      </w:r>
      <w:proofErr w:type="spellEnd"/>
      <w:r w:rsidRPr="00F611C1">
        <w:rPr>
          <w:rFonts w:ascii="Lora" w:hAnsi="Lora"/>
          <w:i/>
          <w:iCs/>
        </w:rPr>
        <w:t>,</w:t>
      </w:r>
      <w:r w:rsidRPr="00F611C1">
        <w:rPr>
          <w:rFonts w:ascii="Lora" w:hAnsi="Lora"/>
        </w:rPr>
        <w:t xml:space="preserve"> survives unfavorable periods as dormant mycelium in infected plants, therefore, fungal movement is brought about by equipment, people, animals, wind</w:t>
      </w:r>
      <w:r w:rsidR="00D111C7">
        <w:rPr>
          <w:rFonts w:ascii="Lora" w:hAnsi="Lora"/>
        </w:rPr>
        <w:t>,</w:t>
      </w:r>
      <w:r w:rsidRPr="00F611C1">
        <w:rPr>
          <w:rFonts w:ascii="Lora" w:hAnsi="Lora"/>
        </w:rPr>
        <w:t xml:space="preserve"> or water. When daytime temperatures </w:t>
      </w:r>
      <w:r w:rsidR="005A6EC9" w:rsidRPr="005A6EC9">
        <w:rPr>
          <w:rFonts w:ascii="Lora" w:hAnsi="Lora"/>
          <w:noProof/>
        </w:rPr>
        <w:lastRenderedPageBreak/>
        <w:drawing>
          <wp:anchor distT="0" distB="0" distL="114300" distR="114300" simplePos="0" relativeHeight="251658240" behindDoc="0" locked="0" layoutInCell="1" allowOverlap="1" wp14:anchorId="2A89C461" wp14:editId="0F4DA8AC">
            <wp:simplePos x="0" y="0"/>
            <wp:positionH relativeFrom="margin">
              <wp:posOffset>219075</wp:posOffset>
            </wp:positionH>
            <wp:positionV relativeFrom="paragraph">
              <wp:posOffset>0</wp:posOffset>
            </wp:positionV>
            <wp:extent cx="6076950" cy="5758180"/>
            <wp:effectExtent l="0" t="0" r="0" b="0"/>
            <wp:wrapSquare wrapText="bothSides"/>
            <wp:docPr id="447326347" name="Picture 1" descr="A diagram of a plant life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26347" name="Picture 1" descr="A diagram of a plant life cyc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076950" cy="5758180"/>
                    </a:xfrm>
                    <a:prstGeom prst="rect">
                      <a:avLst/>
                    </a:prstGeom>
                  </pic:spPr>
                </pic:pic>
              </a:graphicData>
            </a:graphic>
            <wp14:sizeRelH relativeFrom="margin">
              <wp14:pctWidth>0</wp14:pctWidth>
            </wp14:sizeRelH>
            <wp14:sizeRelV relativeFrom="margin">
              <wp14:pctHeight>0</wp14:pctHeight>
            </wp14:sizeRelV>
          </wp:anchor>
        </w:drawing>
      </w:r>
      <w:r w:rsidRPr="00F611C1">
        <w:rPr>
          <w:rFonts w:ascii="Lora" w:hAnsi="Lora"/>
        </w:rPr>
        <w:t>reach</w:t>
      </w:r>
      <w:r>
        <w:rPr>
          <w:rFonts w:ascii="Lora" w:hAnsi="Lora"/>
        </w:rPr>
        <w:t xml:space="preserve"> </w:t>
      </w:r>
      <w:r w:rsidRPr="00F611C1">
        <w:rPr>
          <w:rFonts w:ascii="Lora" w:hAnsi="Lora"/>
        </w:rPr>
        <w:t xml:space="preserve">16°C to 27°C (60° F to 80°F), the dormant mycelium resumes growth from the infected leaves to nearby healthy leaves, causing new infections.  </w:t>
      </w:r>
    </w:p>
    <w:p w14:paraId="26CC4ACE" w14:textId="507B4215" w:rsidR="00586941" w:rsidRDefault="00F611C1" w:rsidP="00451057">
      <w:pPr>
        <w:spacing w:after="120"/>
        <w:rPr>
          <w:rFonts w:ascii="Lora" w:hAnsi="Lora"/>
        </w:rPr>
      </w:pPr>
      <w:r w:rsidRPr="00F611C1">
        <w:rPr>
          <w:rFonts w:ascii="Lora" w:hAnsi="Lora"/>
        </w:rPr>
        <w:t>If night-time conditions become cool and dry soon after infection has occurred, or if control measures are exercised quickly, infection may not progress beyond scattered leaf lesions. If the grass is growing rapidly, the problems may disappear after one or two mowings. If favorable weather persists after infection such as warm nights, with dew forming on leaves, and if control is not achieved, entire grass plants may be killed and typical "dollar spots" may appear on the turf</w:t>
      </w:r>
      <w:r w:rsidR="00902025">
        <w:rPr>
          <w:rFonts w:ascii="Lora" w:hAnsi="Lora"/>
        </w:rPr>
        <w:t>.</w:t>
      </w:r>
    </w:p>
    <w:p w14:paraId="5979D60F" w14:textId="5745621E" w:rsidR="006934A5" w:rsidRPr="008574CC" w:rsidRDefault="006934A5" w:rsidP="00451057">
      <w:pPr>
        <w:spacing w:after="120"/>
        <w:rPr>
          <w:rFonts w:ascii="Lora" w:hAnsi="Lora"/>
        </w:rPr>
      </w:pPr>
    </w:p>
    <w:p w14:paraId="02025B7B" w14:textId="3D6233EA" w:rsidR="009E36A7" w:rsidRPr="009E36A7" w:rsidRDefault="009E36A7" w:rsidP="00451057">
      <w:pPr>
        <w:spacing w:after="120"/>
        <w:rPr>
          <w:rFonts w:ascii="Work Sans" w:hAnsi="Work Sans"/>
          <w:b/>
          <w:color w:val="000000" w:themeColor="text1"/>
          <w:sz w:val="28"/>
          <w:szCs w:val="28"/>
        </w:rPr>
      </w:pPr>
      <w:r>
        <w:rPr>
          <w:rFonts w:ascii="Work Sans" w:hAnsi="Work Sans"/>
          <w:b/>
          <w:color w:val="000000" w:themeColor="text1"/>
          <w:sz w:val="28"/>
          <w:szCs w:val="28"/>
        </w:rPr>
        <w:t>Management Strategies</w:t>
      </w:r>
    </w:p>
    <w:p w14:paraId="40331764" w14:textId="0AE91BDE" w:rsidR="009070C2" w:rsidRDefault="009070C2" w:rsidP="009070C2">
      <w:pPr>
        <w:spacing w:after="120"/>
        <w:rPr>
          <w:rFonts w:ascii="Lora" w:hAnsi="Lora"/>
        </w:rPr>
      </w:pPr>
      <w:r w:rsidRPr="009070C2">
        <w:rPr>
          <w:rFonts w:ascii="Lora" w:hAnsi="Lora"/>
        </w:rPr>
        <w:t xml:space="preserve">Mow grasses at the recommended maximum height if possible. Try not to remove more than 1/3 of the leaf surface in any </w:t>
      </w:r>
      <w:r w:rsidR="007352E0">
        <w:rPr>
          <w:rFonts w:ascii="Lora" w:hAnsi="Lora"/>
        </w:rPr>
        <w:t>single</w:t>
      </w:r>
      <w:r w:rsidRPr="009070C2">
        <w:rPr>
          <w:rFonts w:ascii="Lora" w:hAnsi="Lora"/>
        </w:rPr>
        <w:t xml:space="preserve"> mowing. Maintain adequate soil </w:t>
      </w:r>
      <w:r w:rsidR="00186731" w:rsidRPr="009070C2">
        <w:rPr>
          <w:rFonts w:ascii="Lora" w:hAnsi="Lora"/>
        </w:rPr>
        <w:t>moisture but</w:t>
      </w:r>
      <w:r w:rsidRPr="009070C2">
        <w:rPr>
          <w:rFonts w:ascii="Lora" w:hAnsi="Lora"/>
        </w:rPr>
        <w:t xml:space="preserve"> avoid sprinkling in the late afternoon or evening. Do not overwater. T</w:t>
      </w:r>
      <w:r w:rsidR="00186731">
        <w:rPr>
          <w:rFonts w:ascii="Lora" w:hAnsi="Lora"/>
        </w:rPr>
        <w:t>h</w:t>
      </w:r>
      <w:r w:rsidRPr="009070C2">
        <w:rPr>
          <w:rFonts w:ascii="Lora" w:hAnsi="Lora"/>
        </w:rPr>
        <w:t>e incidence of dollar spot is lower than on nitrogen-</w:t>
      </w:r>
      <w:r w:rsidR="00186731" w:rsidRPr="009070C2">
        <w:rPr>
          <w:rFonts w:ascii="Lora" w:hAnsi="Lora"/>
        </w:rPr>
        <w:t>deficient</w:t>
      </w:r>
      <w:r w:rsidRPr="009070C2">
        <w:rPr>
          <w:rFonts w:ascii="Lora" w:hAnsi="Lora"/>
        </w:rPr>
        <w:t xml:space="preserve"> turf. Adequate nitrogen fertilization in the late spring and summer may help prevent dollar spot, but excess applications may encourage other turf problems (e.g., brown patch, summer patch, and drought stress).</w:t>
      </w:r>
    </w:p>
    <w:p w14:paraId="0D5DD91E" w14:textId="4DBF9DF0" w:rsidR="00186731" w:rsidRDefault="003A5EAD" w:rsidP="009070C2">
      <w:pPr>
        <w:spacing w:after="120"/>
        <w:rPr>
          <w:rFonts w:ascii="Lora" w:hAnsi="Lora"/>
        </w:rPr>
      </w:pPr>
      <w:r w:rsidRPr="003A5EAD">
        <w:rPr>
          <w:rFonts w:ascii="Lora" w:hAnsi="Lora"/>
        </w:rPr>
        <w:t>Varieties of bluegrasses and fescues dif</w:t>
      </w:r>
      <w:r w:rsidR="00D111C7">
        <w:rPr>
          <w:rFonts w:ascii="Lora" w:hAnsi="Lora"/>
        </w:rPr>
        <w:t>f</w:t>
      </w:r>
      <w:r w:rsidRPr="003A5EAD">
        <w:rPr>
          <w:rFonts w:ascii="Lora" w:hAnsi="Lora"/>
        </w:rPr>
        <w:t xml:space="preserve">er in susceptibility to dollar spot. Bluegrasses which exhibit greater resistance include the improved </w:t>
      </w:r>
      <w:r w:rsidRPr="003A5EAD">
        <w:rPr>
          <w:rFonts w:ascii="Lora" w:hAnsi="Lora"/>
        </w:rPr>
        <w:lastRenderedPageBreak/>
        <w:t xml:space="preserve">varieties </w:t>
      </w:r>
      <w:r w:rsidRPr="003A5EAD">
        <w:rPr>
          <w:rFonts w:ascii="Lora" w:hAnsi="Lora"/>
          <w:i/>
          <w:iCs/>
        </w:rPr>
        <w:t xml:space="preserve">Adelphi, America, Aquila, </w:t>
      </w:r>
      <w:proofErr w:type="spellStart"/>
      <w:r w:rsidRPr="003A5EAD">
        <w:rPr>
          <w:rFonts w:ascii="Lora" w:hAnsi="Lora"/>
          <w:i/>
          <w:iCs/>
        </w:rPr>
        <w:t>Bonnieblue</w:t>
      </w:r>
      <w:proofErr w:type="spellEnd"/>
      <w:r w:rsidRPr="003A5EAD">
        <w:rPr>
          <w:rFonts w:ascii="Lora" w:hAnsi="Lora"/>
          <w:i/>
          <w:iCs/>
        </w:rPr>
        <w:t xml:space="preserve">, Bristol, Eclipse, Midnight, Touchdown, Vantage, </w:t>
      </w:r>
      <w:r w:rsidRPr="003A5EAD">
        <w:rPr>
          <w:rFonts w:ascii="Lora" w:hAnsi="Lora"/>
        </w:rPr>
        <w:t>and</w:t>
      </w:r>
      <w:r w:rsidRPr="003A5EAD">
        <w:rPr>
          <w:rFonts w:ascii="Lora" w:hAnsi="Lora"/>
          <w:i/>
          <w:iCs/>
        </w:rPr>
        <w:t xml:space="preserve"> Victa.</w:t>
      </w:r>
      <w:r w:rsidRPr="003A5EAD">
        <w:rPr>
          <w:rFonts w:ascii="Lora" w:hAnsi="Lora"/>
        </w:rPr>
        <w:t xml:space="preserve"> Greater susceptibility is exhibited by varieties which include </w:t>
      </w:r>
      <w:r w:rsidRPr="005D6EBA">
        <w:rPr>
          <w:rFonts w:ascii="Lora" w:hAnsi="Lora"/>
          <w:i/>
          <w:iCs/>
        </w:rPr>
        <w:t xml:space="preserve">Ram I, Mystic, Estar, Gnome, </w:t>
      </w:r>
      <w:r w:rsidRPr="005D6EBA">
        <w:rPr>
          <w:rFonts w:ascii="Lora" w:hAnsi="Lora"/>
        </w:rPr>
        <w:t>and</w:t>
      </w:r>
      <w:r w:rsidRPr="005D6EBA">
        <w:rPr>
          <w:rFonts w:ascii="Lora" w:hAnsi="Lora"/>
          <w:i/>
          <w:iCs/>
        </w:rPr>
        <w:t xml:space="preserve"> </w:t>
      </w:r>
      <w:proofErr w:type="spellStart"/>
      <w:r w:rsidRPr="005D6EBA">
        <w:rPr>
          <w:rFonts w:ascii="Lora" w:hAnsi="Lora"/>
          <w:i/>
          <w:iCs/>
        </w:rPr>
        <w:t>Pennstar</w:t>
      </w:r>
      <w:proofErr w:type="spellEnd"/>
      <w:r w:rsidRPr="003A5EAD">
        <w:rPr>
          <w:rFonts w:ascii="Lora" w:hAnsi="Lora"/>
        </w:rPr>
        <w:t>. Fescues wh</w:t>
      </w:r>
      <w:r>
        <w:rPr>
          <w:rFonts w:ascii="Lora" w:hAnsi="Lora"/>
        </w:rPr>
        <w:t>at</w:t>
      </w:r>
      <w:r w:rsidRPr="003A5EAD">
        <w:rPr>
          <w:rFonts w:ascii="Lora" w:hAnsi="Lora"/>
        </w:rPr>
        <w:t xml:space="preserve"> are more resistant include </w:t>
      </w:r>
      <w:r w:rsidRPr="003A5EAD">
        <w:rPr>
          <w:rFonts w:ascii="Lora" w:hAnsi="Lora"/>
          <w:i/>
          <w:iCs/>
        </w:rPr>
        <w:t xml:space="preserve">Jamestown, </w:t>
      </w:r>
      <w:proofErr w:type="spellStart"/>
      <w:r w:rsidRPr="003A5EAD">
        <w:rPr>
          <w:rFonts w:ascii="Lora" w:hAnsi="Lora"/>
          <w:i/>
          <w:iCs/>
        </w:rPr>
        <w:t>Agram</w:t>
      </w:r>
      <w:proofErr w:type="spellEnd"/>
      <w:r w:rsidRPr="003A5EAD">
        <w:rPr>
          <w:rFonts w:ascii="Lora" w:hAnsi="Lora"/>
          <w:i/>
          <w:iCs/>
        </w:rPr>
        <w:t xml:space="preserve">, Checker, </w:t>
      </w:r>
      <w:r w:rsidRPr="001B1C8D">
        <w:rPr>
          <w:rFonts w:ascii="Lora" w:hAnsi="Lora"/>
        </w:rPr>
        <w:t>and</w:t>
      </w:r>
      <w:r w:rsidRPr="003A5EAD">
        <w:rPr>
          <w:rFonts w:ascii="Lora" w:hAnsi="Lora"/>
          <w:i/>
          <w:iCs/>
        </w:rPr>
        <w:t xml:space="preserve"> Shadow chewings, </w:t>
      </w:r>
      <w:proofErr w:type="spellStart"/>
      <w:r w:rsidRPr="003A5EAD">
        <w:rPr>
          <w:rFonts w:ascii="Lora" w:hAnsi="Lora"/>
          <w:i/>
          <w:iCs/>
        </w:rPr>
        <w:t>Biljart</w:t>
      </w:r>
      <w:proofErr w:type="spellEnd"/>
      <w:r w:rsidRPr="003A5EAD">
        <w:rPr>
          <w:rFonts w:ascii="Lora" w:hAnsi="Lora"/>
          <w:i/>
          <w:iCs/>
        </w:rPr>
        <w:t xml:space="preserve">, Reliant, </w:t>
      </w:r>
      <w:proofErr w:type="spellStart"/>
      <w:r w:rsidRPr="003A5EAD">
        <w:rPr>
          <w:rFonts w:ascii="Lora" w:hAnsi="Lora"/>
          <w:i/>
          <w:iCs/>
        </w:rPr>
        <w:t>Scaldis</w:t>
      </w:r>
      <w:proofErr w:type="spellEnd"/>
      <w:r w:rsidRPr="003A5EAD">
        <w:rPr>
          <w:rFonts w:ascii="Lora" w:hAnsi="Lora"/>
          <w:i/>
          <w:iCs/>
        </w:rPr>
        <w:t xml:space="preserve">, </w:t>
      </w:r>
      <w:r w:rsidRPr="003A5EAD">
        <w:rPr>
          <w:rFonts w:ascii="Lora" w:hAnsi="Lora"/>
        </w:rPr>
        <w:t>and</w:t>
      </w:r>
      <w:r w:rsidRPr="003A5EAD">
        <w:rPr>
          <w:rFonts w:ascii="Lora" w:hAnsi="Lora"/>
          <w:i/>
          <w:iCs/>
        </w:rPr>
        <w:t xml:space="preserve"> Tournament</w:t>
      </w:r>
      <w:r w:rsidRPr="003A5EAD">
        <w:rPr>
          <w:rFonts w:ascii="Lora" w:hAnsi="Lora"/>
        </w:rPr>
        <w:t xml:space="preserve"> hard fescues.</w:t>
      </w:r>
    </w:p>
    <w:p w14:paraId="4262D12D" w14:textId="2D721261" w:rsidR="0082501D" w:rsidRDefault="0082501D" w:rsidP="009070C2">
      <w:pPr>
        <w:spacing w:after="120"/>
        <w:rPr>
          <w:rFonts w:ascii="Lora" w:hAnsi="Lora"/>
        </w:rPr>
      </w:pPr>
      <w:r w:rsidRPr="0082501D">
        <w:rPr>
          <w:rFonts w:ascii="Lora" w:hAnsi="Lora"/>
        </w:rPr>
        <w:t>For a list of specif</w:t>
      </w:r>
      <w:r w:rsidR="00FA5D1B">
        <w:rPr>
          <w:rFonts w:ascii="Lora" w:hAnsi="Lora"/>
        </w:rPr>
        <w:t>i</w:t>
      </w:r>
      <w:r w:rsidRPr="0082501D">
        <w:rPr>
          <w:rFonts w:ascii="Lora" w:hAnsi="Lora"/>
        </w:rPr>
        <w:t xml:space="preserve">c products for homeowners in New York State, please refer to our turf fungicide table. Be certain any formulation of pesticide you purchase is registered for the intended </w:t>
      </w:r>
      <w:r w:rsidR="001C38FD" w:rsidRPr="0082501D">
        <w:rPr>
          <w:rFonts w:ascii="Lora" w:hAnsi="Lora"/>
        </w:rPr>
        <w:t>use and</w:t>
      </w:r>
      <w:r w:rsidRPr="0082501D">
        <w:rPr>
          <w:rFonts w:ascii="Lora" w:hAnsi="Lora"/>
        </w:rPr>
        <w:t xml:space="preserve"> follow the label instructions. </w:t>
      </w:r>
      <w:r w:rsidRPr="0082501D">
        <w:rPr>
          <w:rFonts w:ascii="Lora" w:hAnsi="Lora"/>
        </w:rPr>
        <w:t xml:space="preserve">The label may also provide information on frequency of applications to obtain better control and any precautions to take to limit development of resistance of the pathogen to the fungicide. </w:t>
      </w:r>
    </w:p>
    <w:p w14:paraId="308343EB" w14:textId="5475B924" w:rsidR="003A051B" w:rsidRPr="004F3DD5" w:rsidRDefault="0082501D" w:rsidP="00451057">
      <w:pPr>
        <w:spacing w:after="120"/>
        <w:rPr>
          <w:rFonts w:ascii="Lora" w:hAnsi="Lora"/>
        </w:rPr>
        <w:sectPr w:rsidR="003A051B" w:rsidRPr="004F3DD5" w:rsidSect="00437088">
          <w:type w:val="continuous"/>
          <w:pgSz w:w="12240" w:h="15840"/>
          <w:pgMar w:top="720" w:right="720" w:bottom="720" w:left="720" w:header="720" w:footer="720" w:gutter="0"/>
          <w:cols w:num="2" w:space="720"/>
          <w:docGrid w:linePitch="360"/>
        </w:sectPr>
      </w:pPr>
      <w:r w:rsidRPr="0082501D">
        <w:rPr>
          <w:rFonts w:ascii="Lora" w:hAnsi="Lora"/>
        </w:rPr>
        <w:t xml:space="preserve">Additional products containing other active ingredients may be available for use by commercial applicators. Please refer to the appropriate commercial pest management </w:t>
      </w:r>
      <w:r w:rsidR="001C38FD" w:rsidRPr="0082501D">
        <w:rPr>
          <w:rFonts w:ascii="Lora" w:hAnsi="Lora"/>
        </w:rPr>
        <w:t>guidelines or</w:t>
      </w:r>
      <w:r w:rsidRPr="0082501D">
        <w:rPr>
          <w:rFonts w:ascii="Lora" w:hAnsi="Lora"/>
        </w:rPr>
        <w:t xml:space="preserve"> contact your local Cooperative Extension Of</w:t>
      </w:r>
      <w:r>
        <w:rPr>
          <w:rFonts w:ascii="Lora" w:hAnsi="Lora"/>
        </w:rPr>
        <w:t>fi</w:t>
      </w:r>
      <w:r w:rsidRPr="0082501D">
        <w:rPr>
          <w:rFonts w:ascii="Lora" w:hAnsi="Lora"/>
        </w:rPr>
        <w:t>ce for more information on currently registered products</w:t>
      </w:r>
      <w:r>
        <w:rPr>
          <w:rFonts w:ascii="Lora" w:hAnsi="Lora"/>
        </w:rPr>
        <w:t>.</w:t>
      </w:r>
    </w:p>
    <w:p w14:paraId="7B878219" w14:textId="77777777" w:rsidR="00C87154" w:rsidRDefault="00C87154" w:rsidP="002436C0">
      <w:pPr>
        <w:spacing w:after="120"/>
        <w:rPr>
          <w:rFonts w:ascii="Lora" w:hAnsi="Lora"/>
        </w:rPr>
      </w:pPr>
    </w:p>
    <w:p w14:paraId="24341B92" w14:textId="1B2B63A5" w:rsidR="00CB39AE" w:rsidRDefault="00CB39AE" w:rsidP="002436C0">
      <w:pPr>
        <w:spacing w:after="120"/>
        <w:rPr>
          <w:rFonts w:ascii="Work Sans" w:hAnsi="Work Sans"/>
          <w:b/>
          <w:color w:val="000000"/>
          <w:sz w:val="28"/>
          <w:szCs w:val="28"/>
        </w:rPr>
      </w:pPr>
      <w:r>
        <w:rPr>
          <w:rFonts w:ascii="Work Sans" w:hAnsi="Work Sans"/>
          <w:b/>
          <w:color w:val="000000"/>
          <w:sz w:val="28"/>
          <w:szCs w:val="28"/>
        </w:rPr>
        <w:t>Refer</w:t>
      </w:r>
      <w:r w:rsidR="00B155E9">
        <w:rPr>
          <w:rFonts w:ascii="Work Sans" w:hAnsi="Work Sans"/>
          <w:b/>
          <w:color w:val="000000"/>
          <w:sz w:val="28"/>
          <w:szCs w:val="28"/>
        </w:rPr>
        <w:t>ences</w:t>
      </w:r>
    </w:p>
    <w:p w14:paraId="412AA19C" w14:textId="287B77F4" w:rsidR="00B155E9" w:rsidRDefault="00B155E9" w:rsidP="002436C0">
      <w:pPr>
        <w:spacing w:after="120"/>
        <w:rPr>
          <w:rFonts w:ascii="Lora" w:hAnsi="Lora"/>
        </w:rPr>
      </w:pPr>
      <w:r w:rsidRPr="00B155E9">
        <w:rPr>
          <w:rFonts w:ascii="Lora" w:hAnsi="Lora"/>
          <w:i/>
          <w:iCs/>
        </w:rPr>
        <w:t>Compendium of Turfgrass Diseases,</w:t>
      </w:r>
      <w:r w:rsidRPr="00B155E9">
        <w:rPr>
          <w:rFonts w:ascii="Lora" w:hAnsi="Lora"/>
        </w:rPr>
        <w:t xml:space="preserve"> Third Edition, 2005. R.W. Smiley, P.H. </w:t>
      </w:r>
      <w:proofErr w:type="spellStart"/>
      <w:r w:rsidRPr="00B155E9">
        <w:rPr>
          <w:rFonts w:ascii="Lora" w:hAnsi="Lora"/>
        </w:rPr>
        <w:t>Dernoeden</w:t>
      </w:r>
      <w:proofErr w:type="spellEnd"/>
      <w:r w:rsidRPr="00B155E9">
        <w:rPr>
          <w:rFonts w:ascii="Lora" w:hAnsi="Lora"/>
        </w:rPr>
        <w:t xml:space="preserve"> and B.B. Clarke. APS Press.</w:t>
      </w:r>
    </w:p>
    <w:p w14:paraId="53C41CB2" w14:textId="4CD1D5FB" w:rsidR="00B155E9" w:rsidRPr="00B155E9" w:rsidRDefault="00B155E9" w:rsidP="002436C0">
      <w:pPr>
        <w:spacing w:after="120"/>
        <w:rPr>
          <w:rFonts w:ascii="Lora" w:hAnsi="Lora"/>
        </w:rPr>
      </w:pPr>
      <w:r w:rsidRPr="00B155E9">
        <w:rPr>
          <w:rFonts w:ascii="Lora" w:hAnsi="Lora"/>
        </w:rPr>
        <w:t xml:space="preserve">Salgado-Salazar, C., L.A. Beirn, A. Ismaiel, M.J. Boehm, I. Carbone, A.I. Putman, L.P. Tredway, B.B. Clarke and J. Crouch. 2018. </w:t>
      </w:r>
      <w:proofErr w:type="spellStart"/>
      <w:r w:rsidRPr="00B155E9">
        <w:rPr>
          <w:rFonts w:ascii="Lora" w:hAnsi="Lora"/>
          <w:i/>
          <w:iCs/>
        </w:rPr>
        <w:t>Clarireedia</w:t>
      </w:r>
      <w:proofErr w:type="spellEnd"/>
      <w:r w:rsidRPr="00B155E9">
        <w:rPr>
          <w:rFonts w:ascii="Lora" w:hAnsi="Lora"/>
        </w:rPr>
        <w:t xml:space="preserve">: A new fungal genus comprising four pathogenic species responsible for dollar spot disease of turfgrass. Fungal Biology. https://doi.org/10.1016/ </w:t>
      </w:r>
      <w:proofErr w:type="gramStart"/>
      <w:r w:rsidRPr="00B155E9">
        <w:rPr>
          <w:rFonts w:ascii="Lora" w:hAnsi="Lora"/>
        </w:rPr>
        <w:t>j.funbio</w:t>
      </w:r>
      <w:proofErr w:type="gramEnd"/>
      <w:r w:rsidRPr="00B155E9">
        <w:rPr>
          <w:rFonts w:ascii="Lora" w:hAnsi="Lora"/>
        </w:rPr>
        <w:t>.2018.04.004.</w:t>
      </w:r>
    </w:p>
    <w:p w14:paraId="62C2F0B6" w14:textId="0EFB86D2" w:rsidR="002436C0" w:rsidRPr="002436C0" w:rsidRDefault="002436C0" w:rsidP="002436C0">
      <w:pPr>
        <w:spacing w:after="120"/>
        <w:rPr>
          <w:rFonts w:ascii="Lora" w:hAnsi="Lora"/>
        </w:rPr>
      </w:pPr>
      <w:r w:rsidRPr="00FB0F94">
        <w:rPr>
          <w:rFonts w:ascii="Work Sans" w:hAnsi="Work Sans"/>
          <w:b/>
          <w:color w:val="000000"/>
          <w:sz w:val="28"/>
          <w:szCs w:val="28"/>
        </w:rPr>
        <w:t>Prepared by</w:t>
      </w:r>
      <w:r w:rsidR="00631FA9">
        <w:rPr>
          <w:rFonts w:ascii="Lora" w:hAnsi="Lora"/>
          <w:b/>
          <w:color w:val="000000"/>
        </w:rPr>
        <w:t xml:space="preserve"> </w:t>
      </w:r>
      <w:r w:rsidR="001C38FD">
        <w:rPr>
          <w:rFonts w:ascii="Lora" w:hAnsi="Lora"/>
        </w:rPr>
        <w:t>Clinic staff; U</w:t>
      </w:r>
      <w:r w:rsidRPr="002436C0">
        <w:rPr>
          <w:rFonts w:ascii="Lora" w:hAnsi="Lora"/>
        </w:rPr>
        <w:t xml:space="preserve">pdated </w:t>
      </w:r>
      <w:r w:rsidR="001C38FD">
        <w:rPr>
          <w:rFonts w:ascii="Lora" w:hAnsi="Lora"/>
        </w:rPr>
        <w:t xml:space="preserve">by </w:t>
      </w:r>
      <w:r w:rsidRPr="002436C0">
        <w:rPr>
          <w:rFonts w:ascii="Lora" w:hAnsi="Lora"/>
        </w:rPr>
        <w:t>SLJ</w:t>
      </w:r>
      <w:r w:rsidR="001C38FD">
        <w:rPr>
          <w:rFonts w:ascii="Lora" w:hAnsi="Lora"/>
        </w:rPr>
        <w:t>2 &amp; LG658, December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76C80AC0" w:rsidR="00117CDE" w:rsidRDefault="00982A07" w:rsidP="00982A07">
      <w:pPr>
        <w:spacing w:after="0"/>
        <w:rPr>
          <w:rFonts w:ascii="Lora" w:hAnsi="Lora"/>
          <w:color w:val="000000"/>
        </w:rPr>
      </w:pPr>
      <w:r w:rsidRPr="00117CDE">
        <w:rPr>
          <w:rFonts w:ascii="Lora" w:hAnsi="Lora"/>
          <w:color w:val="000000"/>
        </w:rPr>
        <w:t>Email:</w:t>
      </w:r>
      <w:bookmarkStart w:id="1" w:name="_Hlk162533176"/>
      <w:r w:rsidR="00631FA9">
        <w:rPr>
          <w:rFonts w:ascii="Lora" w:hAnsi="Lora"/>
          <w:color w:val="000000"/>
        </w:rPr>
        <w:t xml:space="preserve"> </w:t>
      </w:r>
      <w:hyperlink r:id="rId9" w:history="1">
        <w:r w:rsidR="001C38FD" w:rsidRPr="008D4F5B">
          <w:rPr>
            <w:rStyle w:val="Hyperlink"/>
            <w:rFonts w:ascii="Lora" w:hAnsi="Lora"/>
          </w:rPr>
          <w:t>Cornellplantdiseaseclinic@cornell.edu</w:t>
        </w:r>
      </w:hyperlink>
      <w:bookmarkEnd w:id="1"/>
    </w:p>
    <w:p w14:paraId="073E9F93" w14:textId="05A4E7E8" w:rsidR="00DD02DC" w:rsidRPr="00712DAC" w:rsidRDefault="00982A07" w:rsidP="00F055C8">
      <w:pPr>
        <w:spacing w:after="0"/>
        <w:rPr>
          <w:rFonts w:ascii="Work Sans" w:hAnsi="Work Sans"/>
          <w:sz w:val="36"/>
          <w:szCs w:val="36"/>
        </w:rPr>
      </w:pPr>
      <w:r w:rsidRPr="00117CDE">
        <w:rPr>
          <w:rFonts w:ascii="Lora" w:hAnsi="Lora"/>
          <w:color w:val="000000"/>
        </w:rPr>
        <w:t xml:space="preserve">Web: </w:t>
      </w:r>
      <w:hyperlink r:id="rId10" w:history="1">
        <w:r w:rsidRPr="00A62DA2">
          <w:rPr>
            <w:rStyle w:val="Hyperlink"/>
            <w:rFonts w:ascii="Lora" w:hAnsi="Lora"/>
          </w:rPr>
          <w:t>plantclinic.cornell.ed</w:t>
        </w:r>
        <w:r w:rsidR="00117CDE" w:rsidRPr="00A62DA2">
          <w:rPr>
            <w:rStyle w:val="Hyperlink"/>
            <w:rFonts w:ascii="Lora" w:hAnsi="Lora"/>
          </w:rPr>
          <w:t>u</w:t>
        </w:r>
      </w:hyperlink>
      <w:bookmarkEnd w:id="0"/>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E31"/>
    <w:multiLevelType w:val="hybridMultilevel"/>
    <w:tmpl w:val="21CCF11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00DE2"/>
    <w:multiLevelType w:val="hybridMultilevel"/>
    <w:tmpl w:val="1BBEAE08"/>
    <w:lvl w:ilvl="0" w:tplc="4F585C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F70CD"/>
    <w:multiLevelType w:val="hybridMultilevel"/>
    <w:tmpl w:val="BA6AEE70"/>
    <w:lvl w:ilvl="0" w:tplc="C3D69A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A43F7"/>
    <w:multiLevelType w:val="hybridMultilevel"/>
    <w:tmpl w:val="8ECA67B2"/>
    <w:lvl w:ilvl="0" w:tplc="F2D2E3D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7528A"/>
    <w:multiLevelType w:val="hybridMultilevel"/>
    <w:tmpl w:val="616A8D4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D3B6E"/>
    <w:multiLevelType w:val="hybridMultilevel"/>
    <w:tmpl w:val="64E4EA0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921540">
    <w:abstractNumId w:val="2"/>
  </w:num>
  <w:num w:numId="2" w16cid:durableId="2096702462">
    <w:abstractNumId w:val="1"/>
  </w:num>
  <w:num w:numId="3" w16cid:durableId="2103985522">
    <w:abstractNumId w:val="5"/>
  </w:num>
  <w:num w:numId="4" w16cid:durableId="321740168">
    <w:abstractNumId w:val="4"/>
  </w:num>
  <w:num w:numId="5" w16cid:durableId="1072655756">
    <w:abstractNumId w:val="0"/>
  </w:num>
  <w:num w:numId="6" w16cid:durableId="2146655123">
    <w:abstractNumId w:val="7"/>
  </w:num>
  <w:num w:numId="7" w16cid:durableId="1660383675">
    <w:abstractNumId w:val="6"/>
  </w:num>
  <w:num w:numId="8" w16cid:durableId="1085226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015E9"/>
    <w:rsid w:val="000044ED"/>
    <w:rsid w:val="0001109D"/>
    <w:rsid w:val="00015D46"/>
    <w:rsid w:val="00017DA2"/>
    <w:rsid w:val="0002577C"/>
    <w:rsid w:val="00027AD8"/>
    <w:rsid w:val="00041261"/>
    <w:rsid w:val="000510B1"/>
    <w:rsid w:val="00056268"/>
    <w:rsid w:val="00085140"/>
    <w:rsid w:val="00086928"/>
    <w:rsid w:val="000924B1"/>
    <w:rsid w:val="000957E7"/>
    <w:rsid w:val="00096BF5"/>
    <w:rsid w:val="000A1C6F"/>
    <w:rsid w:val="000B2A10"/>
    <w:rsid w:val="000B3E80"/>
    <w:rsid w:val="000C7007"/>
    <w:rsid w:val="000D64CA"/>
    <w:rsid w:val="000D7472"/>
    <w:rsid w:val="000E0430"/>
    <w:rsid w:val="000E1AC4"/>
    <w:rsid w:val="000E4552"/>
    <w:rsid w:val="000E494A"/>
    <w:rsid w:val="000F06D2"/>
    <w:rsid w:val="001040C4"/>
    <w:rsid w:val="00104912"/>
    <w:rsid w:val="0010664F"/>
    <w:rsid w:val="00111C3A"/>
    <w:rsid w:val="00113459"/>
    <w:rsid w:val="00113B04"/>
    <w:rsid w:val="00117CDE"/>
    <w:rsid w:val="00126B20"/>
    <w:rsid w:val="00141E2E"/>
    <w:rsid w:val="001433B4"/>
    <w:rsid w:val="0014621F"/>
    <w:rsid w:val="001527E5"/>
    <w:rsid w:val="001537CB"/>
    <w:rsid w:val="00153A49"/>
    <w:rsid w:val="001565CC"/>
    <w:rsid w:val="001578B7"/>
    <w:rsid w:val="001615F4"/>
    <w:rsid w:val="00164230"/>
    <w:rsid w:val="00164478"/>
    <w:rsid w:val="00164ED0"/>
    <w:rsid w:val="0016552F"/>
    <w:rsid w:val="00176814"/>
    <w:rsid w:val="001808A0"/>
    <w:rsid w:val="0018561C"/>
    <w:rsid w:val="00186731"/>
    <w:rsid w:val="00197DDC"/>
    <w:rsid w:val="001A027C"/>
    <w:rsid w:val="001A0C40"/>
    <w:rsid w:val="001A1913"/>
    <w:rsid w:val="001B06C5"/>
    <w:rsid w:val="001B10E5"/>
    <w:rsid w:val="001B1C8D"/>
    <w:rsid w:val="001B2863"/>
    <w:rsid w:val="001B5134"/>
    <w:rsid w:val="001B6E37"/>
    <w:rsid w:val="001C38FD"/>
    <w:rsid w:val="001C44C4"/>
    <w:rsid w:val="001C7384"/>
    <w:rsid w:val="001E1349"/>
    <w:rsid w:val="001E3DB0"/>
    <w:rsid w:val="001E490B"/>
    <w:rsid w:val="001E6EE6"/>
    <w:rsid w:val="001F37A6"/>
    <w:rsid w:val="001F40BB"/>
    <w:rsid w:val="001F7B02"/>
    <w:rsid w:val="00212905"/>
    <w:rsid w:val="002209F3"/>
    <w:rsid w:val="00221859"/>
    <w:rsid w:val="0022462F"/>
    <w:rsid w:val="00226167"/>
    <w:rsid w:val="0022664F"/>
    <w:rsid w:val="002355C9"/>
    <w:rsid w:val="002428A1"/>
    <w:rsid w:val="002436C0"/>
    <w:rsid w:val="00250820"/>
    <w:rsid w:val="00254953"/>
    <w:rsid w:val="00260643"/>
    <w:rsid w:val="0026438F"/>
    <w:rsid w:val="00271655"/>
    <w:rsid w:val="00280FD2"/>
    <w:rsid w:val="00283E81"/>
    <w:rsid w:val="0028403F"/>
    <w:rsid w:val="00284E8B"/>
    <w:rsid w:val="0029257D"/>
    <w:rsid w:val="002A6C97"/>
    <w:rsid w:val="002B398E"/>
    <w:rsid w:val="002B4487"/>
    <w:rsid w:val="002B6904"/>
    <w:rsid w:val="002B703F"/>
    <w:rsid w:val="002C11B7"/>
    <w:rsid w:val="002C4E81"/>
    <w:rsid w:val="002C61FA"/>
    <w:rsid w:val="002C7189"/>
    <w:rsid w:val="002D0BE4"/>
    <w:rsid w:val="002D4FF3"/>
    <w:rsid w:val="002E4D8B"/>
    <w:rsid w:val="002E55B3"/>
    <w:rsid w:val="002F18EF"/>
    <w:rsid w:val="002F41EF"/>
    <w:rsid w:val="002F54B1"/>
    <w:rsid w:val="002F784D"/>
    <w:rsid w:val="003120C2"/>
    <w:rsid w:val="0032340E"/>
    <w:rsid w:val="00326A41"/>
    <w:rsid w:val="0033169C"/>
    <w:rsid w:val="00337809"/>
    <w:rsid w:val="00351ABA"/>
    <w:rsid w:val="00351B8C"/>
    <w:rsid w:val="00352924"/>
    <w:rsid w:val="0036055F"/>
    <w:rsid w:val="00360CCC"/>
    <w:rsid w:val="00361676"/>
    <w:rsid w:val="003621F8"/>
    <w:rsid w:val="003640A0"/>
    <w:rsid w:val="00366ECD"/>
    <w:rsid w:val="00370752"/>
    <w:rsid w:val="003729E2"/>
    <w:rsid w:val="003801E3"/>
    <w:rsid w:val="00381157"/>
    <w:rsid w:val="003841EB"/>
    <w:rsid w:val="00384F40"/>
    <w:rsid w:val="003860EF"/>
    <w:rsid w:val="003A051B"/>
    <w:rsid w:val="003A5EAD"/>
    <w:rsid w:val="003B4BB3"/>
    <w:rsid w:val="003B754B"/>
    <w:rsid w:val="003D4007"/>
    <w:rsid w:val="003D57B0"/>
    <w:rsid w:val="003D6C2B"/>
    <w:rsid w:val="003D7E09"/>
    <w:rsid w:val="003E5FB3"/>
    <w:rsid w:val="003F0133"/>
    <w:rsid w:val="003F499A"/>
    <w:rsid w:val="00400A38"/>
    <w:rsid w:val="004020BF"/>
    <w:rsid w:val="00403F76"/>
    <w:rsid w:val="00421ED7"/>
    <w:rsid w:val="00431011"/>
    <w:rsid w:val="00435134"/>
    <w:rsid w:val="00437088"/>
    <w:rsid w:val="00441093"/>
    <w:rsid w:val="0044191F"/>
    <w:rsid w:val="00444135"/>
    <w:rsid w:val="00451057"/>
    <w:rsid w:val="00461D9E"/>
    <w:rsid w:val="00461EB2"/>
    <w:rsid w:val="0046236B"/>
    <w:rsid w:val="0047621F"/>
    <w:rsid w:val="00476BE9"/>
    <w:rsid w:val="004778F5"/>
    <w:rsid w:val="004C23B9"/>
    <w:rsid w:val="004D1D1E"/>
    <w:rsid w:val="004D55B6"/>
    <w:rsid w:val="004E1F46"/>
    <w:rsid w:val="004E251B"/>
    <w:rsid w:val="004E4DF3"/>
    <w:rsid w:val="004E70D3"/>
    <w:rsid w:val="004F24CC"/>
    <w:rsid w:val="004F2EE1"/>
    <w:rsid w:val="004F3DD5"/>
    <w:rsid w:val="00500070"/>
    <w:rsid w:val="00520F57"/>
    <w:rsid w:val="00524F79"/>
    <w:rsid w:val="00537501"/>
    <w:rsid w:val="00544948"/>
    <w:rsid w:val="00562AF0"/>
    <w:rsid w:val="0056760D"/>
    <w:rsid w:val="005712E5"/>
    <w:rsid w:val="0057594A"/>
    <w:rsid w:val="00582EEA"/>
    <w:rsid w:val="00586941"/>
    <w:rsid w:val="005A2626"/>
    <w:rsid w:val="005A5EF0"/>
    <w:rsid w:val="005A6EC9"/>
    <w:rsid w:val="005A78AE"/>
    <w:rsid w:val="005B27A3"/>
    <w:rsid w:val="005B4B96"/>
    <w:rsid w:val="005C3229"/>
    <w:rsid w:val="005C41A0"/>
    <w:rsid w:val="005D110A"/>
    <w:rsid w:val="005D6EBA"/>
    <w:rsid w:val="005E44BF"/>
    <w:rsid w:val="005E4CFA"/>
    <w:rsid w:val="005F1316"/>
    <w:rsid w:val="005F7428"/>
    <w:rsid w:val="00603896"/>
    <w:rsid w:val="00614D4F"/>
    <w:rsid w:val="00614E3B"/>
    <w:rsid w:val="006249B9"/>
    <w:rsid w:val="00626F41"/>
    <w:rsid w:val="00631FA9"/>
    <w:rsid w:val="00636B8C"/>
    <w:rsid w:val="00640C1A"/>
    <w:rsid w:val="006457DA"/>
    <w:rsid w:val="006463CF"/>
    <w:rsid w:val="0065216E"/>
    <w:rsid w:val="00654948"/>
    <w:rsid w:val="0066258F"/>
    <w:rsid w:val="00665297"/>
    <w:rsid w:val="0066647A"/>
    <w:rsid w:val="00671F5E"/>
    <w:rsid w:val="00672FA0"/>
    <w:rsid w:val="006766E9"/>
    <w:rsid w:val="00676BE3"/>
    <w:rsid w:val="0068029F"/>
    <w:rsid w:val="0068649A"/>
    <w:rsid w:val="006873B2"/>
    <w:rsid w:val="00692AC8"/>
    <w:rsid w:val="006934A5"/>
    <w:rsid w:val="0069562A"/>
    <w:rsid w:val="006C0B7C"/>
    <w:rsid w:val="006C0EC5"/>
    <w:rsid w:val="006C18D7"/>
    <w:rsid w:val="006C1A3F"/>
    <w:rsid w:val="006C4487"/>
    <w:rsid w:val="006C678D"/>
    <w:rsid w:val="006C79EC"/>
    <w:rsid w:val="006D1BC8"/>
    <w:rsid w:val="006D41F4"/>
    <w:rsid w:val="006D5FAA"/>
    <w:rsid w:val="006E0386"/>
    <w:rsid w:val="006E359A"/>
    <w:rsid w:val="006F0EC0"/>
    <w:rsid w:val="006F1DC4"/>
    <w:rsid w:val="006F6F18"/>
    <w:rsid w:val="00704532"/>
    <w:rsid w:val="00705948"/>
    <w:rsid w:val="00711C6E"/>
    <w:rsid w:val="00712DAC"/>
    <w:rsid w:val="007202A4"/>
    <w:rsid w:val="007240D2"/>
    <w:rsid w:val="00724758"/>
    <w:rsid w:val="007270A2"/>
    <w:rsid w:val="007352E0"/>
    <w:rsid w:val="0074079B"/>
    <w:rsid w:val="00741CAE"/>
    <w:rsid w:val="00750319"/>
    <w:rsid w:val="007657F2"/>
    <w:rsid w:val="00773FF9"/>
    <w:rsid w:val="00785086"/>
    <w:rsid w:val="007860DB"/>
    <w:rsid w:val="007B71CF"/>
    <w:rsid w:val="007C4AF1"/>
    <w:rsid w:val="007D2A82"/>
    <w:rsid w:val="007D4341"/>
    <w:rsid w:val="007E034E"/>
    <w:rsid w:val="007F1E52"/>
    <w:rsid w:val="007F3873"/>
    <w:rsid w:val="007F3C16"/>
    <w:rsid w:val="008018D6"/>
    <w:rsid w:val="0082501D"/>
    <w:rsid w:val="008400D9"/>
    <w:rsid w:val="00843A05"/>
    <w:rsid w:val="00845470"/>
    <w:rsid w:val="008508C6"/>
    <w:rsid w:val="00854F00"/>
    <w:rsid w:val="008574CC"/>
    <w:rsid w:val="00866840"/>
    <w:rsid w:val="00866CD4"/>
    <w:rsid w:val="00884C48"/>
    <w:rsid w:val="0088633B"/>
    <w:rsid w:val="00887523"/>
    <w:rsid w:val="00892923"/>
    <w:rsid w:val="008B2967"/>
    <w:rsid w:val="008B7C99"/>
    <w:rsid w:val="008C365F"/>
    <w:rsid w:val="008C71DB"/>
    <w:rsid w:val="008D31C2"/>
    <w:rsid w:val="008E4AC2"/>
    <w:rsid w:val="008E6118"/>
    <w:rsid w:val="008F3C4F"/>
    <w:rsid w:val="008F3FF9"/>
    <w:rsid w:val="008F6A1C"/>
    <w:rsid w:val="008F6AAD"/>
    <w:rsid w:val="008F7290"/>
    <w:rsid w:val="00902025"/>
    <w:rsid w:val="00904179"/>
    <w:rsid w:val="0090636A"/>
    <w:rsid w:val="009070B5"/>
    <w:rsid w:val="009070C2"/>
    <w:rsid w:val="009076DA"/>
    <w:rsid w:val="00916C2E"/>
    <w:rsid w:val="00920AF7"/>
    <w:rsid w:val="00924B4C"/>
    <w:rsid w:val="009274F8"/>
    <w:rsid w:val="00932445"/>
    <w:rsid w:val="00936B73"/>
    <w:rsid w:val="009449D1"/>
    <w:rsid w:val="00947648"/>
    <w:rsid w:val="00950361"/>
    <w:rsid w:val="00953D44"/>
    <w:rsid w:val="00960A0B"/>
    <w:rsid w:val="009662F3"/>
    <w:rsid w:val="00981368"/>
    <w:rsid w:val="00981BBA"/>
    <w:rsid w:val="00982A07"/>
    <w:rsid w:val="009832F4"/>
    <w:rsid w:val="0099339F"/>
    <w:rsid w:val="009938F3"/>
    <w:rsid w:val="00996F72"/>
    <w:rsid w:val="009A04F1"/>
    <w:rsid w:val="009A5207"/>
    <w:rsid w:val="009C69EF"/>
    <w:rsid w:val="009E36A7"/>
    <w:rsid w:val="009F776F"/>
    <w:rsid w:val="00A10E82"/>
    <w:rsid w:val="00A14E11"/>
    <w:rsid w:val="00A32E21"/>
    <w:rsid w:val="00A36901"/>
    <w:rsid w:val="00A4661D"/>
    <w:rsid w:val="00A474FA"/>
    <w:rsid w:val="00A4785A"/>
    <w:rsid w:val="00A5223E"/>
    <w:rsid w:val="00A52E41"/>
    <w:rsid w:val="00A539BA"/>
    <w:rsid w:val="00A61236"/>
    <w:rsid w:val="00A62DA2"/>
    <w:rsid w:val="00A670E7"/>
    <w:rsid w:val="00A72146"/>
    <w:rsid w:val="00AA66A9"/>
    <w:rsid w:val="00AB67A9"/>
    <w:rsid w:val="00AC0740"/>
    <w:rsid w:val="00AC66C4"/>
    <w:rsid w:val="00AD45B9"/>
    <w:rsid w:val="00AE17CA"/>
    <w:rsid w:val="00AE31C0"/>
    <w:rsid w:val="00AE488F"/>
    <w:rsid w:val="00AE56C0"/>
    <w:rsid w:val="00AF344F"/>
    <w:rsid w:val="00AF3E26"/>
    <w:rsid w:val="00B057EE"/>
    <w:rsid w:val="00B155E9"/>
    <w:rsid w:val="00B31D45"/>
    <w:rsid w:val="00B3221A"/>
    <w:rsid w:val="00B402F1"/>
    <w:rsid w:val="00B47C1A"/>
    <w:rsid w:val="00B52E7D"/>
    <w:rsid w:val="00B53A59"/>
    <w:rsid w:val="00B556D5"/>
    <w:rsid w:val="00B61D5D"/>
    <w:rsid w:val="00B70D42"/>
    <w:rsid w:val="00B71F52"/>
    <w:rsid w:val="00B87AF6"/>
    <w:rsid w:val="00B96351"/>
    <w:rsid w:val="00BA364A"/>
    <w:rsid w:val="00BB6C5B"/>
    <w:rsid w:val="00BC26F2"/>
    <w:rsid w:val="00BC3725"/>
    <w:rsid w:val="00BD54CF"/>
    <w:rsid w:val="00BD60CA"/>
    <w:rsid w:val="00BE0EA5"/>
    <w:rsid w:val="00BE1347"/>
    <w:rsid w:val="00BF4746"/>
    <w:rsid w:val="00C000B0"/>
    <w:rsid w:val="00C00A83"/>
    <w:rsid w:val="00C02BD0"/>
    <w:rsid w:val="00C058FD"/>
    <w:rsid w:val="00C13E8A"/>
    <w:rsid w:val="00C236EC"/>
    <w:rsid w:val="00C372AC"/>
    <w:rsid w:val="00C3779C"/>
    <w:rsid w:val="00C4002D"/>
    <w:rsid w:val="00C42F33"/>
    <w:rsid w:val="00C52F1D"/>
    <w:rsid w:val="00C554EE"/>
    <w:rsid w:val="00C610EC"/>
    <w:rsid w:val="00C616BE"/>
    <w:rsid w:val="00C7135D"/>
    <w:rsid w:val="00C717AE"/>
    <w:rsid w:val="00C71A57"/>
    <w:rsid w:val="00C73713"/>
    <w:rsid w:val="00C7404A"/>
    <w:rsid w:val="00C750BC"/>
    <w:rsid w:val="00C7603A"/>
    <w:rsid w:val="00C81F20"/>
    <w:rsid w:val="00C83AA0"/>
    <w:rsid w:val="00C87154"/>
    <w:rsid w:val="00CA0309"/>
    <w:rsid w:val="00CA131C"/>
    <w:rsid w:val="00CB39AE"/>
    <w:rsid w:val="00CB482E"/>
    <w:rsid w:val="00CB4ECA"/>
    <w:rsid w:val="00CB6B5F"/>
    <w:rsid w:val="00CF54CF"/>
    <w:rsid w:val="00CF558A"/>
    <w:rsid w:val="00CF5CE1"/>
    <w:rsid w:val="00D02A87"/>
    <w:rsid w:val="00D111C7"/>
    <w:rsid w:val="00D114D3"/>
    <w:rsid w:val="00D13E79"/>
    <w:rsid w:val="00D20993"/>
    <w:rsid w:val="00D22143"/>
    <w:rsid w:val="00D3015C"/>
    <w:rsid w:val="00D353E3"/>
    <w:rsid w:val="00D40D00"/>
    <w:rsid w:val="00D40F35"/>
    <w:rsid w:val="00D46C84"/>
    <w:rsid w:val="00D52BCB"/>
    <w:rsid w:val="00D6660E"/>
    <w:rsid w:val="00D835D2"/>
    <w:rsid w:val="00D8387D"/>
    <w:rsid w:val="00D8521C"/>
    <w:rsid w:val="00D91A38"/>
    <w:rsid w:val="00D97B50"/>
    <w:rsid w:val="00DA4C22"/>
    <w:rsid w:val="00DA68B2"/>
    <w:rsid w:val="00DC15FA"/>
    <w:rsid w:val="00DC5BC7"/>
    <w:rsid w:val="00DD02DC"/>
    <w:rsid w:val="00DF26D3"/>
    <w:rsid w:val="00DF4A13"/>
    <w:rsid w:val="00E00FB0"/>
    <w:rsid w:val="00E02840"/>
    <w:rsid w:val="00E10C18"/>
    <w:rsid w:val="00E16DE7"/>
    <w:rsid w:val="00E212FD"/>
    <w:rsid w:val="00E2615C"/>
    <w:rsid w:val="00E32C02"/>
    <w:rsid w:val="00E36BE9"/>
    <w:rsid w:val="00E57529"/>
    <w:rsid w:val="00E64D14"/>
    <w:rsid w:val="00E713C8"/>
    <w:rsid w:val="00E713EB"/>
    <w:rsid w:val="00E83FEF"/>
    <w:rsid w:val="00E942EB"/>
    <w:rsid w:val="00EB3366"/>
    <w:rsid w:val="00EB4E24"/>
    <w:rsid w:val="00EB763D"/>
    <w:rsid w:val="00EC06DF"/>
    <w:rsid w:val="00ED28C6"/>
    <w:rsid w:val="00ED406A"/>
    <w:rsid w:val="00ED7D42"/>
    <w:rsid w:val="00EE31A4"/>
    <w:rsid w:val="00EE44DD"/>
    <w:rsid w:val="00EF59AD"/>
    <w:rsid w:val="00EF7BDA"/>
    <w:rsid w:val="00F00FBA"/>
    <w:rsid w:val="00F055C8"/>
    <w:rsid w:val="00F05C74"/>
    <w:rsid w:val="00F07C1F"/>
    <w:rsid w:val="00F1535D"/>
    <w:rsid w:val="00F25519"/>
    <w:rsid w:val="00F30838"/>
    <w:rsid w:val="00F3130D"/>
    <w:rsid w:val="00F31AF0"/>
    <w:rsid w:val="00F46B35"/>
    <w:rsid w:val="00F562F7"/>
    <w:rsid w:val="00F6096D"/>
    <w:rsid w:val="00F611C1"/>
    <w:rsid w:val="00F6296C"/>
    <w:rsid w:val="00F657FA"/>
    <w:rsid w:val="00F70BA5"/>
    <w:rsid w:val="00F74FDD"/>
    <w:rsid w:val="00F85C11"/>
    <w:rsid w:val="00FA09FF"/>
    <w:rsid w:val="00FA18BE"/>
    <w:rsid w:val="00FA5D1B"/>
    <w:rsid w:val="00FB0F94"/>
    <w:rsid w:val="00FC1C26"/>
    <w:rsid w:val="00FC2F48"/>
    <w:rsid w:val="00FC4687"/>
    <w:rsid w:val="00FD143B"/>
    <w:rsid w:val="00FF1881"/>
    <w:rsid w:val="00FF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352922752">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file:///C:\Users\slj2\Desktop\2024%20Web%20site%20fact%20sheets%20etc\2024%20Fact%20sheets%20in%20WORD\plantclinic.cornell.edu" TargetMode="External"/><Relationship Id="rId4" Type="http://schemas.openxmlformats.org/officeDocument/2006/relationships/webSettings" Target="webSettings.xml"/><Relationship Id="rId9" Type="http://schemas.openxmlformats.org/officeDocument/2006/relationships/hyperlink" Target="mailto:Cornellplantdiseaseclinic@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2</cp:revision>
  <cp:lastPrinted>2018-08-22T19:02:00Z</cp:lastPrinted>
  <dcterms:created xsi:type="dcterms:W3CDTF">2024-12-02T18:24:00Z</dcterms:created>
  <dcterms:modified xsi:type="dcterms:W3CDTF">2024-12-02T18:24:00Z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46492657f6612b852f827cd4994072f16f3000b32a99d06df8b5b88cd0735eb6</vt:lpwstr>
  </property>
</Properties>
</file>