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57F15DC9" w:rsidR="00676BE3" w:rsidRPr="00947648" w:rsidRDefault="00947648">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Hemlock Twig Rust</w:t>
      </w:r>
      <w:r w:rsidR="00712DAC" w:rsidRPr="005E4CFA">
        <w:rPr>
          <w:rFonts w:ascii="Work Sans" w:hAnsi="Work Sans"/>
          <w:b/>
          <w:color w:val="000000" w:themeColor="text1"/>
          <w:sz w:val="44"/>
          <w:szCs w:val="44"/>
        </w:rPr>
        <w:t>:</w:t>
      </w:r>
      <w:r w:rsidR="003860EF" w:rsidRPr="003860EF">
        <w:t xml:space="preserve"> </w:t>
      </w:r>
      <w:proofErr w:type="spellStart"/>
      <w:r w:rsidRPr="00947648">
        <w:rPr>
          <w:rFonts w:ascii="Work Sans" w:hAnsi="Work Sans"/>
          <w:i/>
          <w:color w:val="000000" w:themeColor="text1"/>
          <w:sz w:val="36"/>
          <w:szCs w:val="36"/>
        </w:rPr>
        <w:t>Melampsora</w:t>
      </w:r>
      <w:proofErr w:type="spellEnd"/>
      <w:r>
        <w:rPr>
          <w:rFonts w:ascii="Work Sans" w:hAnsi="Work Sans"/>
          <w:i/>
          <w:color w:val="000000" w:themeColor="text1"/>
          <w:sz w:val="36"/>
          <w:szCs w:val="36"/>
        </w:rPr>
        <w:t xml:space="preserve"> </w:t>
      </w:r>
      <w:proofErr w:type="spellStart"/>
      <w:r w:rsidRPr="00947648">
        <w:rPr>
          <w:rFonts w:ascii="Work Sans" w:hAnsi="Work Sans"/>
          <w:i/>
          <w:color w:val="000000" w:themeColor="text1"/>
          <w:sz w:val="36"/>
          <w:szCs w:val="36"/>
        </w:rPr>
        <w:t>farlowii</w:t>
      </w:r>
      <w:proofErr w:type="spellEnd"/>
      <w:r>
        <w:rPr>
          <w:rFonts w:ascii="Work Sans" w:hAnsi="Work Sans"/>
          <w:i/>
          <w:color w:val="000000" w:themeColor="text1"/>
          <w:sz w:val="36"/>
          <w:szCs w:val="36"/>
        </w:rPr>
        <w:t xml:space="preserve"> </w:t>
      </w:r>
      <w:r w:rsidRPr="00947648">
        <w:rPr>
          <w:rFonts w:ascii="Work Sans" w:hAnsi="Work Sans"/>
          <w:iCs/>
          <w:color w:val="000000" w:themeColor="text1"/>
          <w:sz w:val="36"/>
          <w:szCs w:val="36"/>
        </w:rPr>
        <w:t>(Arth.) Davis</w:t>
      </w:r>
    </w:p>
    <w:p w14:paraId="7911C627" w14:textId="0311B7AB"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690D40D0" w14:textId="66B8FC20" w:rsidR="00947648" w:rsidRDefault="00947648" w:rsidP="00947648">
      <w:pPr>
        <w:spacing w:after="120"/>
        <w:rPr>
          <w:rFonts w:ascii="Lora" w:hAnsi="Lora" w:cs="AGaramondPro-Regular"/>
        </w:rPr>
      </w:pPr>
      <w:r w:rsidRPr="00947648">
        <w:rPr>
          <w:rFonts w:ascii="Lora" w:hAnsi="Lora" w:cs="AGaramondPro-Regular"/>
        </w:rPr>
        <w:t xml:space="preserve">Twig rust, caused by the fungus </w:t>
      </w:r>
      <w:proofErr w:type="spellStart"/>
      <w:r w:rsidRPr="00947648">
        <w:rPr>
          <w:rFonts w:ascii="Lora" w:hAnsi="Lora" w:cs="AGaramondPro-Regular"/>
          <w:i/>
          <w:iCs/>
        </w:rPr>
        <w:t>Melampsora</w:t>
      </w:r>
      <w:proofErr w:type="spellEnd"/>
      <w:r w:rsidRPr="00947648">
        <w:rPr>
          <w:rFonts w:ascii="Lora" w:hAnsi="Lora" w:cs="AGaramondPro-Regular"/>
          <w:i/>
          <w:iCs/>
        </w:rPr>
        <w:t xml:space="preserve"> </w:t>
      </w:r>
      <w:proofErr w:type="spellStart"/>
      <w:r w:rsidRPr="00947648">
        <w:rPr>
          <w:rFonts w:ascii="Lora" w:hAnsi="Lora" w:cs="AGaramondPro-Regular"/>
          <w:i/>
          <w:iCs/>
        </w:rPr>
        <w:t>farlowii</w:t>
      </w:r>
      <w:proofErr w:type="spellEnd"/>
      <w:r w:rsidRPr="00947648">
        <w:rPr>
          <w:rFonts w:ascii="Lora" w:hAnsi="Lora" w:cs="AGaramondPro-Regular"/>
          <w:i/>
          <w:iCs/>
        </w:rPr>
        <w:t xml:space="preserve"> </w:t>
      </w:r>
      <w:r w:rsidRPr="00947648">
        <w:rPr>
          <w:rFonts w:ascii="Lora" w:hAnsi="Lora" w:cs="AGaramondPro-Regular"/>
        </w:rPr>
        <w:t xml:space="preserve">(Arth.) </w:t>
      </w:r>
      <w:proofErr w:type="gramStart"/>
      <w:r w:rsidRPr="00947648">
        <w:rPr>
          <w:rFonts w:ascii="Lora" w:hAnsi="Lora" w:cs="AGaramondPro-Regular"/>
        </w:rPr>
        <w:t>Davis,</w:t>
      </w:r>
      <w:proofErr w:type="gramEnd"/>
      <w:r w:rsidRPr="00947648">
        <w:rPr>
          <w:rFonts w:ascii="Lora" w:hAnsi="Lora" w:cs="AGaramondPro-Regular"/>
        </w:rPr>
        <w:t xml:space="preserve"> is a common disease of eastern (</w:t>
      </w:r>
      <w:r w:rsidRPr="00947648">
        <w:rPr>
          <w:rFonts w:ascii="Lora" w:hAnsi="Lora" w:cs="AGaramondPro-Regular"/>
          <w:i/>
          <w:iCs/>
        </w:rPr>
        <w:t>Tsuga canadensis</w:t>
      </w:r>
      <w:r w:rsidRPr="00947648">
        <w:rPr>
          <w:rFonts w:ascii="Lora" w:hAnsi="Lora" w:cs="AGaramondPro-Regular"/>
        </w:rPr>
        <w:t xml:space="preserve"> Carr.) and Carolina (</w:t>
      </w:r>
      <w:r w:rsidRPr="00947648">
        <w:rPr>
          <w:rFonts w:ascii="Lora" w:hAnsi="Lora" w:cs="AGaramondPro-Regular"/>
          <w:i/>
          <w:iCs/>
        </w:rPr>
        <w:t xml:space="preserve">T. </w:t>
      </w:r>
      <w:proofErr w:type="spellStart"/>
      <w:r w:rsidRPr="00947648">
        <w:rPr>
          <w:rFonts w:ascii="Lora" w:hAnsi="Lora" w:cs="AGaramondPro-Regular"/>
          <w:i/>
          <w:iCs/>
        </w:rPr>
        <w:t>caroliniana</w:t>
      </w:r>
      <w:proofErr w:type="spellEnd"/>
      <w:r w:rsidRPr="00947648">
        <w:rPr>
          <w:rFonts w:ascii="Lora" w:hAnsi="Lora" w:cs="AGaramondPro-Regular"/>
          <w:i/>
          <w:iCs/>
        </w:rPr>
        <w:t xml:space="preserve"> </w:t>
      </w:r>
      <w:proofErr w:type="spellStart"/>
      <w:r w:rsidRPr="00947648">
        <w:rPr>
          <w:rFonts w:ascii="Lora" w:hAnsi="Lora" w:cs="AGaramondPro-Regular"/>
        </w:rPr>
        <w:t>Engelm</w:t>
      </w:r>
      <w:proofErr w:type="spellEnd"/>
      <w:r w:rsidRPr="00947648">
        <w:rPr>
          <w:rFonts w:ascii="Lora" w:hAnsi="Lora" w:cs="AGaramondPro-Regular"/>
        </w:rPr>
        <w:t xml:space="preserve">.) hemlocks throughout eastern North America. Although not generally a problem in forests, hemlock twig rust can cause considerable damage in commercial tree nurseries, where cultural conditions favor the development of disease. Unlike related </w:t>
      </w:r>
      <w:proofErr w:type="spellStart"/>
      <w:r w:rsidRPr="00947648">
        <w:rPr>
          <w:rFonts w:ascii="Lora" w:hAnsi="Lora" w:cs="AGaramondPro-Regular"/>
          <w:i/>
          <w:iCs/>
        </w:rPr>
        <w:t>Melampsora</w:t>
      </w:r>
      <w:proofErr w:type="spellEnd"/>
      <w:r w:rsidRPr="00947648">
        <w:rPr>
          <w:rFonts w:ascii="Lora" w:hAnsi="Lora" w:cs="AGaramondPro-Regular"/>
        </w:rPr>
        <w:t xml:space="preserve"> species. (e.g., the poplar rust fungus–</w:t>
      </w:r>
      <w:r w:rsidRPr="00947648">
        <w:rPr>
          <w:rFonts w:ascii="Lora" w:hAnsi="Lora" w:cs="AGaramondPro-Regular"/>
          <w:i/>
          <w:iCs/>
        </w:rPr>
        <w:t>M. medusae</w:t>
      </w:r>
      <w:r w:rsidRPr="00947648">
        <w:rPr>
          <w:rFonts w:ascii="Lora" w:hAnsi="Lora" w:cs="AGaramondPro-Regular"/>
        </w:rPr>
        <w:t xml:space="preserve">), </w:t>
      </w:r>
      <w:r w:rsidRPr="00947648">
        <w:rPr>
          <w:rFonts w:ascii="Lora" w:hAnsi="Lora" w:cs="AGaramondPro-Regular"/>
          <w:i/>
          <w:iCs/>
        </w:rPr>
        <w:t xml:space="preserve">M. </w:t>
      </w:r>
      <w:proofErr w:type="spellStart"/>
      <w:r w:rsidRPr="00947648">
        <w:rPr>
          <w:rFonts w:ascii="Lora" w:hAnsi="Lora" w:cs="AGaramondPro-Regular"/>
          <w:i/>
          <w:iCs/>
        </w:rPr>
        <w:t>farlowii</w:t>
      </w:r>
      <w:proofErr w:type="spellEnd"/>
      <w:r w:rsidRPr="00947648">
        <w:rPr>
          <w:rFonts w:ascii="Lora" w:hAnsi="Lora" w:cs="AGaramondPro-Regular"/>
          <w:i/>
          <w:iCs/>
        </w:rPr>
        <w:t xml:space="preserve"> </w:t>
      </w:r>
      <w:r w:rsidRPr="00947648">
        <w:rPr>
          <w:rFonts w:ascii="Lora" w:hAnsi="Lora" w:cs="AGaramondPro-Regular"/>
        </w:rPr>
        <w:t>produces only two spore stages–teliospores and basidiospores – and does not alternate between hemlock and a taxonomically unrelated plant. Teliospores in dead twigs and fallen needles germinate in spring, producing basidiospores that are wind-dispersed and infect young cones, needles</w:t>
      </w:r>
      <w:r>
        <w:rPr>
          <w:rFonts w:ascii="Lora" w:hAnsi="Lora" w:cs="AGaramondPro-Regular"/>
        </w:rPr>
        <w:t>,</w:t>
      </w:r>
      <w:r w:rsidRPr="00947648">
        <w:rPr>
          <w:rFonts w:ascii="Lora" w:hAnsi="Lora" w:cs="AGaramondPro-Regular"/>
        </w:rPr>
        <w:t xml:space="preserve"> and stems of </w:t>
      </w:r>
      <w:r w:rsidRPr="00947648">
        <w:rPr>
          <w:rFonts w:ascii="Lora" w:hAnsi="Lora" w:cs="AGaramondPro-Regular"/>
          <w:i/>
          <w:iCs/>
        </w:rPr>
        <w:t>T. canadensis</w:t>
      </w:r>
      <w:r w:rsidRPr="00947648">
        <w:rPr>
          <w:rFonts w:ascii="Lora" w:hAnsi="Lora" w:cs="AGaramondPro-Regular"/>
        </w:rPr>
        <w:t xml:space="preserve"> and </w:t>
      </w:r>
      <w:r w:rsidRPr="00947648">
        <w:rPr>
          <w:rFonts w:ascii="Lora" w:hAnsi="Lora" w:cs="AGaramondPro-Regular"/>
          <w:i/>
          <w:iCs/>
        </w:rPr>
        <w:t xml:space="preserve">T. </w:t>
      </w:r>
      <w:proofErr w:type="spellStart"/>
      <w:r w:rsidRPr="00947648">
        <w:rPr>
          <w:rFonts w:ascii="Lora" w:hAnsi="Lora" w:cs="AGaramondPro-Regular"/>
          <w:i/>
          <w:iCs/>
        </w:rPr>
        <w:t>caroliniana</w:t>
      </w:r>
      <w:proofErr w:type="spellEnd"/>
      <w:r w:rsidRPr="00947648">
        <w:rPr>
          <w:rFonts w:ascii="Lora" w:hAnsi="Lora" w:cs="AGaramondPro-Regular"/>
        </w:rPr>
        <w:t>.</w:t>
      </w:r>
    </w:p>
    <w:p w14:paraId="64825043" w14:textId="68A5E1B9" w:rsidR="003F499A" w:rsidRDefault="003F499A" w:rsidP="00947648">
      <w:pPr>
        <w:spacing w:after="120"/>
        <w:rPr>
          <w:rFonts w:ascii="Lora" w:hAnsi="Lora" w:cs="AGaramondPro-Regular"/>
        </w:rPr>
      </w:pPr>
      <w:r w:rsidRPr="003F499A">
        <w:rPr>
          <w:rFonts w:ascii="Lora" w:hAnsi="Lora" w:cs="AGaramondPro-Regular"/>
          <w:noProof/>
        </w:rPr>
        <w:drawing>
          <wp:inline distT="0" distB="0" distL="0" distR="0" wp14:anchorId="3ED15298" wp14:editId="3793C2BA">
            <wp:extent cx="2743200" cy="2313759"/>
            <wp:effectExtent l="0" t="0" r="0" b="0"/>
            <wp:docPr id="28389135"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9135" name="Picture 1" descr="A close up of a plant&#10;&#10;Description automatically generated"/>
                    <pic:cNvPicPr/>
                  </pic:nvPicPr>
                  <pic:blipFill>
                    <a:blip r:embed="rId6"/>
                    <a:stretch>
                      <a:fillRect/>
                    </a:stretch>
                  </pic:blipFill>
                  <pic:spPr>
                    <a:xfrm>
                      <a:off x="0" y="0"/>
                      <a:ext cx="2768726" cy="2335289"/>
                    </a:xfrm>
                    <a:prstGeom prst="rect">
                      <a:avLst/>
                    </a:prstGeom>
                  </pic:spPr>
                </pic:pic>
              </a:graphicData>
            </a:graphic>
          </wp:inline>
        </w:drawing>
      </w:r>
    </w:p>
    <w:p w14:paraId="09854126" w14:textId="71058437" w:rsidR="003F499A" w:rsidRDefault="003F499A" w:rsidP="003F499A">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Figure 1. Dead shoot of eastern hemlock (</w:t>
      </w:r>
      <w:r w:rsidRPr="004C79EF">
        <w:rPr>
          <w:rFonts w:ascii="Lora" w:hAnsi="Lora" w:cs="AGaramondPro-Regular"/>
          <w:i/>
          <w:iCs/>
          <w:sz w:val="20"/>
          <w:szCs w:val="20"/>
        </w:rPr>
        <w:t>Tsuga canadensis</w:t>
      </w:r>
      <w:r w:rsidRPr="003F499A">
        <w:rPr>
          <w:rFonts w:ascii="Lora" w:hAnsi="Lora" w:cs="AGaramondPro-Regular"/>
          <w:sz w:val="20"/>
          <w:szCs w:val="20"/>
        </w:rPr>
        <w:t xml:space="preserve">) caused by </w:t>
      </w:r>
      <w:proofErr w:type="spellStart"/>
      <w:r w:rsidRPr="004C79EF">
        <w:rPr>
          <w:rFonts w:ascii="Lora" w:hAnsi="Lora" w:cs="AGaramondPro-Regular"/>
          <w:i/>
          <w:iCs/>
          <w:sz w:val="20"/>
          <w:szCs w:val="20"/>
        </w:rPr>
        <w:t>Melampsora</w:t>
      </w:r>
      <w:proofErr w:type="spellEnd"/>
      <w:r w:rsidRPr="004C79EF">
        <w:rPr>
          <w:rFonts w:ascii="Lora" w:hAnsi="Lora" w:cs="AGaramondPro-Regular"/>
          <w:i/>
          <w:iCs/>
          <w:sz w:val="20"/>
          <w:szCs w:val="20"/>
        </w:rPr>
        <w:t xml:space="preserve"> </w:t>
      </w:r>
      <w:proofErr w:type="spellStart"/>
      <w:r w:rsidRPr="004C79EF">
        <w:rPr>
          <w:rFonts w:ascii="Lora" w:hAnsi="Lora" w:cs="AGaramondPro-Regular"/>
          <w:i/>
          <w:iCs/>
          <w:sz w:val="20"/>
          <w:szCs w:val="20"/>
        </w:rPr>
        <w:t>farlowii</w:t>
      </w:r>
      <w:proofErr w:type="spellEnd"/>
      <w:r w:rsidRPr="003F499A">
        <w:rPr>
          <w:rFonts w:ascii="Lora" w:hAnsi="Lora" w:cs="AGaramondPro-Regular"/>
          <w:sz w:val="20"/>
          <w:szCs w:val="20"/>
        </w:rPr>
        <w:t>. Infection results in the deformation</w:t>
      </w:r>
      <w:r w:rsidR="004C79EF">
        <w:rPr>
          <w:rFonts w:ascii="Lora" w:hAnsi="Lora" w:cs="AGaramondPro-Regular"/>
          <w:sz w:val="20"/>
          <w:szCs w:val="20"/>
        </w:rPr>
        <w:t xml:space="preserve">, </w:t>
      </w:r>
      <w:r>
        <w:rPr>
          <w:rFonts w:ascii="Lora" w:hAnsi="Lora" w:cs="AGaramondPro-Regular"/>
          <w:sz w:val="20"/>
          <w:szCs w:val="20"/>
        </w:rPr>
        <w:t xml:space="preserve">curly-cue-like </w:t>
      </w:r>
      <w:r w:rsidRPr="003F499A">
        <w:rPr>
          <w:rFonts w:ascii="Lora" w:hAnsi="Lora" w:cs="AGaramondPro-Regular"/>
          <w:sz w:val="20"/>
          <w:szCs w:val="20"/>
        </w:rPr>
        <w:t>appearance</w:t>
      </w:r>
      <w:r w:rsidR="004C79EF">
        <w:rPr>
          <w:rFonts w:ascii="Lora" w:hAnsi="Lora" w:cs="AGaramondPro-Regular"/>
          <w:sz w:val="20"/>
          <w:szCs w:val="20"/>
        </w:rPr>
        <w:t xml:space="preserve">, </w:t>
      </w:r>
      <w:r w:rsidRPr="003F499A">
        <w:rPr>
          <w:rFonts w:ascii="Lora" w:hAnsi="Lora" w:cs="AGaramondPro-Regular"/>
          <w:sz w:val="20"/>
          <w:szCs w:val="20"/>
        </w:rPr>
        <w:t>of current-season growth (New York, May).</w:t>
      </w:r>
    </w:p>
    <w:p w14:paraId="592CD320" w14:textId="77777777" w:rsidR="003F499A" w:rsidRPr="003F499A" w:rsidRDefault="003F499A" w:rsidP="003F499A">
      <w:pPr>
        <w:autoSpaceDE w:val="0"/>
        <w:autoSpaceDN w:val="0"/>
        <w:adjustRightInd w:val="0"/>
        <w:spacing w:after="0" w:line="240" w:lineRule="auto"/>
        <w:rPr>
          <w:rFonts w:ascii="Lora" w:hAnsi="Lora" w:cs="AGaramondPro-Regular"/>
          <w:sz w:val="20"/>
          <w:szCs w:val="20"/>
        </w:rPr>
      </w:pPr>
    </w:p>
    <w:p w14:paraId="3436BC29" w14:textId="13290AEC" w:rsidR="003F499A" w:rsidRDefault="003F499A" w:rsidP="00947648">
      <w:pPr>
        <w:spacing w:after="120"/>
        <w:rPr>
          <w:rFonts w:ascii="Lora" w:hAnsi="Lora" w:cs="AGaramondPro-Regular"/>
        </w:rPr>
      </w:pPr>
      <w:r w:rsidRPr="003F499A">
        <w:rPr>
          <w:rFonts w:ascii="Lora" w:hAnsi="Lora" w:cs="AGaramondPro-Regular"/>
          <w:noProof/>
        </w:rPr>
        <w:drawing>
          <wp:inline distT="0" distB="0" distL="0" distR="0" wp14:anchorId="2894AF78" wp14:editId="05AA880B">
            <wp:extent cx="2971800" cy="2791959"/>
            <wp:effectExtent l="0" t="0" r="0" b="8890"/>
            <wp:docPr id="1625669310"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69310" name="Picture 1" descr="A close up of a plant&#10;&#10;Description automatically generated"/>
                    <pic:cNvPicPr/>
                  </pic:nvPicPr>
                  <pic:blipFill>
                    <a:blip r:embed="rId7"/>
                    <a:stretch>
                      <a:fillRect/>
                    </a:stretch>
                  </pic:blipFill>
                  <pic:spPr>
                    <a:xfrm>
                      <a:off x="0" y="0"/>
                      <a:ext cx="2976872" cy="2796724"/>
                    </a:xfrm>
                    <a:prstGeom prst="rect">
                      <a:avLst/>
                    </a:prstGeom>
                  </pic:spPr>
                </pic:pic>
              </a:graphicData>
            </a:graphic>
          </wp:inline>
        </w:drawing>
      </w:r>
    </w:p>
    <w:p w14:paraId="13C66010" w14:textId="1E5E7401" w:rsidR="003F499A" w:rsidRDefault="003F499A" w:rsidP="003F499A">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 xml:space="preserve">Figure 2. </w:t>
      </w:r>
      <w:r w:rsidR="004C79EF">
        <w:rPr>
          <w:rFonts w:ascii="Lora" w:hAnsi="Lora" w:cs="AGaramondPro-Regular"/>
          <w:sz w:val="20"/>
          <w:szCs w:val="20"/>
        </w:rPr>
        <w:t>M</w:t>
      </w:r>
      <w:r w:rsidRPr="003F499A">
        <w:rPr>
          <w:rFonts w:ascii="Lora" w:hAnsi="Lora" w:cs="AGaramondPro-Regular"/>
          <w:sz w:val="20"/>
          <w:szCs w:val="20"/>
        </w:rPr>
        <w:t xml:space="preserve">agnified view of young telia of </w:t>
      </w:r>
      <w:proofErr w:type="spellStart"/>
      <w:r w:rsidRPr="00C673A3">
        <w:rPr>
          <w:rFonts w:ascii="Lora" w:hAnsi="Lora" w:cs="AGaramondPro-Regular"/>
          <w:i/>
          <w:iCs/>
          <w:sz w:val="20"/>
          <w:szCs w:val="20"/>
        </w:rPr>
        <w:t>Melampsora</w:t>
      </w:r>
      <w:proofErr w:type="spellEnd"/>
      <w:r w:rsidRPr="00C673A3">
        <w:rPr>
          <w:rFonts w:ascii="Lora" w:hAnsi="Lora" w:cs="AGaramondPro-Regular"/>
          <w:i/>
          <w:iCs/>
          <w:sz w:val="20"/>
          <w:szCs w:val="20"/>
        </w:rPr>
        <w:t xml:space="preserve"> </w:t>
      </w:r>
      <w:proofErr w:type="spellStart"/>
      <w:r w:rsidRPr="00C673A3">
        <w:rPr>
          <w:rFonts w:ascii="Lora" w:hAnsi="Lora" w:cs="AGaramondPro-Regular"/>
          <w:i/>
          <w:iCs/>
          <w:sz w:val="20"/>
          <w:szCs w:val="20"/>
        </w:rPr>
        <w:t>farlowii</w:t>
      </w:r>
      <w:proofErr w:type="spellEnd"/>
      <w:r w:rsidRPr="003F499A">
        <w:rPr>
          <w:rFonts w:ascii="Lora" w:hAnsi="Lora" w:cs="AGaramondPro-Regular"/>
          <w:sz w:val="20"/>
          <w:szCs w:val="20"/>
        </w:rPr>
        <w:t xml:space="preserve"> on the stomatal surface of current</w:t>
      </w:r>
      <w:r>
        <w:rPr>
          <w:rFonts w:ascii="Lora" w:hAnsi="Lora" w:cs="AGaramondPro-Regular"/>
          <w:sz w:val="20"/>
          <w:szCs w:val="20"/>
        </w:rPr>
        <w:t xml:space="preserve"> </w:t>
      </w:r>
      <w:r w:rsidRPr="003F499A">
        <w:rPr>
          <w:rFonts w:ascii="Lora" w:hAnsi="Lora" w:cs="AGaramondPro-Regular"/>
          <w:sz w:val="20"/>
          <w:szCs w:val="20"/>
        </w:rPr>
        <w:t xml:space="preserve">year needles of </w:t>
      </w:r>
      <w:r w:rsidRPr="004C79EF">
        <w:rPr>
          <w:rFonts w:ascii="Lora" w:hAnsi="Lora" w:cs="AGaramondPro-Regular"/>
          <w:i/>
          <w:iCs/>
          <w:sz w:val="20"/>
          <w:szCs w:val="20"/>
        </w:rPr>
        <w:t>Tsuga canadensis</w:t>
      </w:r>
      <w:r w:rsidRPr="003F499A">
        <w:rPr>
          <w:rFonts w:ascii="Lora" w:hAnsi="Lora" w:cs="AGaramondPro-Regular"/>
          <w:sz w:val="20"/>
          <w:szCs w:val="20"/>
        </w:rPr>
        <w:t xml:space="preserve"> (New York, July).</w:t>
      </w:r>
    </w:p>
    <w:p w14:paraId="5FA4A9FA" w14:textId="77777777" w:rsidR="004C79EF" w:rsidRPr="003F499A" w:rsidRDefault="004C79EF" w:rsidP="003F499A">
      <w:pPr>
        <w:autoSpaceDE w:val="0"/>
        <w:autoSpaceDN w:val="0"/>
        <w:adjustRightInd w:val="0"/>
        <w:spacing w:after="0" w:line="240" w:lineRule="auto"/>
        <w:rPr>
          <w:rFonts w:ascii="Lora" w:hAnsi="Lora" w:cs="AGaramondPro-Regular"/>
          <w:sz w:val="20"/>
          <w:szCs w:val="20"/>
        </w:rPr>
      </w:pPr>
    </w:p>
    <w:p w14:paraId="39E88BEF" w14:textId="77777777" w:rsidR="003F499A" w:rsidRDefault="003F499A" w:rsidP="00947648">
      <w:pPr>
        <w:spacing w:after="120"/>
        <w:rPr>
          <w:rFonts w:ascii="Work Sans" w:hAnsi="Work Sans"/>
          <w:b/>
          <w:color w:val="000000"/>
          <w:sz w:val="28"/>
          <w:szCs w:val="28"/>
        </w:rPr>
      </w:pPr>
      <w:r>
        <w:rPr>
          <w:rFonts w:ascii="Work Sans" w:hAnsi="Work Sans"/>
          <w:b/>
          <w:color w:val="000000"/>
          <w:sz w:val="28"/>
          <w:szCs w:val="28"/>
        </w:rPr>
        <w:t>Distribution and Host(s)</w:t>
      </w:r>
    </w:p>
    <w:p w14:paraId="6F960927" w14:textId="294D2A44" w:rsidR="003F499A" w:rsidRPr="003F499A" w:rsidRDefault="003F499A" w:rsidP="00947648">
      <w:pPr>
        <w:spacing w:after="120"/>
        <w:rPr>
          <w:rFonts w:ascii="Work Sans" w:hAnsi="Work Sans"/>
          <w:b/>
          <w:color w:val="000000"/>
          <w:sz w:val="28"/>
          <w:szCs w:val="28"/>
        </w:rPr>
      </w:pPr>
      <w:proofErr w:type="spellStart"/>
      <w:r w:rsidRPr="003F499A">
        <w:rPr>
          <w:rFonts w:ascii="Lora" w:hAnsi="Lora" w:cs="AGaramondPro-Regular"/>
          <w:i/>
          <w:iCs/>
        </w:rPr>
        <w:t>Melamspora</w:t>
      </w:r>
      <w:proofErr w:type="spellEnd"/>
      <w:r w:rsidRPr="003F499A">
        <w:rPr>
          <w:rFonts w:ascii="Lora" w:hAnsi="Lora" w:cs="AGaramondPro-Regular"/>
          <w:i/>
          <w:iCs/>
        </w:rPr>
        <w:t xml:space="preserve"> </w:t>
      </w:r>
      <w:proofErr w:type="spellStart"/>
      <w:r w:rsidRPr="003F499A">
        <w:rPr>
          <w:rFonts w:ascii="Lora" w:hAnsi="Lora" w:cs="AGaramondPro-Regular"/>
          <w:i/>
          <w:iCs/>
        </w:rPr>
        <w:t>farlowii</w:t>
      </w:r>
      <w:proofErr w:type="spellEnd"/>
      <w:r w:rsidRPr="003F499A">
        <w:rPr>
          <w:rFonts w:ascii="Lora" w:hAnsi="Lora" w:cs="AGaramondPro-Regular"/>
        </w:rPr>
        <w:t xml:space="preserve"> is widely distributed throughout southeastern Canada (Nova Scotia) and the eastern United States including Georgia, Michigan, New Hampshire, New York, North Carolina, Pennsylvania, Vermont, Virginia, and Wisconsin. The fungus has been reported to infect eastern (</w:t>
      </w:r>
      <w:r w:rsidRPr="006F1DC4">
        <w:rPr>
          <w:rFonts w:ascii="Lora" w:hAnsi="Lora" w:cs="AGaramondPro-Regular"/>
          <w:i/>
          <w:iCs/>
        </w:rPr>
        <w:t>Tsuga canadensis</w:t>
      </w:r>
      <w:r w:rsidRPr="003F499A">
        <w:rPr>
          <w:rFonts w:ascii="Lora" w:hAnsi="Lora" w:cs="AGaramondPro-Regular"/>
          <w:u w:val="single"/>
        </w:rPr>
        <w:t>)</w:t>
      </w:r>
      <w:r w:rsidRPr="003F499A">
        <w:rPr>
          <w:rFonts w:ascii="Lora" w:hAnsi="Lora" w:cs="AGaramondPro-Regular"/>
        </w:rPr>
        <w:t xml:space="preserve"> and Carolina (</w:t>
      </w:r>
      <w:r w:rsidRPr="003F499A">
        <w:rPr>
          <w:rFonts w:ascii="Lora" w:hAnsi="Lora" w:cs="AGaramondPro-Regular"/>
          <w:i/>
          <w:iCs/>
        </w:rPr>
        <w:t xml:space="preserve">T. </w:t>
      </w:r>
      <w:proofErr w:type="spellStart"/>
      <w:r w:rsidRPr="003F499A">
        <w:rPr>
          <w:rFonts w:ascii="Lora" w:hAnsi="Lora" w:cs="AGaramondPro-Regular"/>
          <w:i/>
          <w:iCs/>
        </w:rPr>
        <w:t>caroliniana</w:t>
      </w:r>
      <w:proofErr w:type="spellEnd"/>
      <w:r w:rsidRPr="003F499A">
        <w:rPr>
          <w:rFonts w:ascii="Lora" w:hAnsi="Lora" w:cs="AGaramondPro-Regular"/>
        </w:rPr>
        <w:t xml:space="preserve">) hemlock, the former being </w:t>
      </w:r>
      <w:r>
        <w:rPr>
          <w:rFonts w:ascii="Lora" w:hAnsi="Lora" w:cs="AGaramondPro-Regular"/>
        </w:rPr>
        <w:t xml:space="preserve">the </w:t>
      </w:r>
      <w:r w:rsidRPr="003F499A">
        <w:rPr>
          <w:rFonts w:ascii="Lora" w:hAnsi="Lora" w:cs="AGaramondPro-Regular"/>
        </w:rPr>
        <w:t>most affected.</w:t>
      </w:r>
    </w:p>
    <w:p w14:paraId="2EAD53DC" w14:textId="77777777" w:rsidR="002428A1" w:rsidRDefault="00712DAC" w:rsidP="002428A1">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60B61FDF" w14:textId="77777777" w:rsidR="003F499A" w:rsidRDefault="003F499A" w:rsidP="002428A1">
      <w:pPr>
        <w:spacing w:after="120" w:line="240" w:lineRule="auto"/>
        <w:rPr>
          <w:rFonts w:ascii="Lora" w:hAnsi="Lora"/>
        </w:rPr>
      </w:pPr>
      <w:r w:rsidRPr="003F499A">
        <w:rPr>
          <w:rFonts w:ascii="Lora" w:hAnsi="Lora"/>
        </w:rPr>
        <w:t xml:space="preserve">Initial symptoms appear in May–early June as yellowing of current-year needles approximately 1-month after bud burst. Shortly thereafter, the base of infected needles and twigs become </w:t>
      </w:r>
      <w:proofErr w:type="gramStart"/>
      <w:r w:rsidRPr="003F499A">
        <w:rPr>
          <w:rFonts w:ascii="Lora" w:hAnsi="Lora"/>
        </w:rPr>
        <w:lastRenderedPageBreak/>
        <w:t>orange-brown</w:t>
      </w:r>
      <w:proofErr w:type="gramEnd"/>
      <w:r w:rsidRPr="003F499A">
        <w:rPr>
          <w:rFonts w:ascii="Lora" w:hAnsi="Lora"/>
        </w:rPr>
        <w:t xml:space="preserve"> (Fig. 2, 3). Uninfected needles </w:t>
      </w:r>
      <w:proofErr w:type="spellStart"/>
      <w:r w:rsidRPr="003F499A">
        <w:rPr>
          <w:rFonts w:ascii="Lora" w:hAnsi="Lora"/>
        </w:rPr>
        <w:t>absciss</w:t>
      </w:r>
      <w:proofErr w:type="spellEnd"/>
      <w:r w:rsidRPr="003F499A">
        <w:rPr>
          <w:rFonts w:ascii="Lora" w:hAnsi="Lora"/>
        </w:rPr>
        <w:t xml:space="preserve"> (drop) from affected twigs resulting in few needles distal to the point of infection. Infected twigs later curl as the fungus invades the vascular tissue (Fig. 3). Infected cones do not produce seed; aborted cones often persist on affected trees. </w:t>
      </w:r>
    </w:p>
    <w:p w14:paraId="569B7936" w14:textId="77777777" w:rsidR="004C79EF" w:rsidRDefault="003F499A" w:rsidP="003860EF">
      <w:pPr>
        <w:spacing w:after="120" w:line="240" w:lineRule="auto"/>
        <w:rPr>
          <w:rFonts w:ascii="Lora" w:hAnsi="Lora"/>
        </w:rPr>
      </w:pPr>
      <w:r w:rsidRPr="003F499A">
        <w:rPr>
          <w:rFonts w:ascii="Lora" w:hAnsi="Lora"/>
        </w:rPr>
        <w:t xml:space="preserve">Telia </w:t>
      </w:r>
      <w:r>
        <w:rPr>
          <w:rFonts w:ascii="Lora" w:hAnsi="Lora"/>
        </w:rPr>
        <w:t>is</w:t>
      </w:r>
      <w:r w:rsidRPr="003F499A">
        <w:rPr>
          <w:rFonts w:ascii="Lora" w:hAnsi="Lora"/>
        </w:rPr>
        <w:t xml:space="preserve"> the most conspicuous fruiting stage of </w:t>
      </w:r>
      <w:r w:rsidRPr="003F499A">
        <w:rPr>
          <w:rFonts w:ascii="Lora" w:hAnsi="Lora"/>
          <w:i/>
          <w:iCs/>
        </w:rPr>
        <w:t xml:space="preserve">M. </w:t>
      </w:r>
      <w:proofErr w:type="spellStart"/>
      <w:r w:rsidRPr="003F499A">
        <w:rPr>
          <w:rFonts w:ascii="Lora" w:hAnsi="Lora"/>
          <w:i/>
          <w:iCs/>
        </w:rPr>
        <w:t>farlowii</w:t>
      </w:r>
      <w:proofErr w:type="spellEnd"/>
      <w:r w:rsidRPr="003F499A">
        <w:rPr>
          <w:rFonts w:ascii="Lora" w:hAnsi="Lora"/>
          <w:i/>
          <w:iCs/>
        </w:rPr>
        <w:t xml:space="preserve"> </w:t>
      </w:r>
      <w:r w:rsidRPr="003F499A">
        <w:rPr>
          <w:rFonts w:ascii="Lora" w:hAnsi="Lora"/>
        </w:rPr>
        <w:t>(Fig. 2). Telia are reddish to rust-brown, waxy, linear, and confluent on affected needles or twigs. Teliospores are present in a column-like fashion (i.e., single-row) within mature telia immediately beneath and within the epidermis of infected needles. Teliospores are oblong–cylindric, and measure 7 –10 x 35– 58 µm. Basidiospores are globular, pigmented red-yellow, and approximately 8 µm in diameter.</w:t>
      </w:r>
    </w:p>
    <w:p w14:paraId="1B785AFC" w14:textId="0C66962A" w:rsidR="003860EF" w:rsidRPr="003860EF" w:rsidRDefault="003860EF" w:rsidP="003860EF">
      <w:pPr>
        <w:spacing w:after="120" w:line="240" w:lineRule="auto"/>
        <w:rPr>
          <w:rFonts w:ascii="Lora" w:hAnsi="Lora"/>
        </w:rPr>
      </w:pPr>
      <w:r w:rsidRPr="003860EF">
        <w:rPr>
          <w:rFonts w:ascii="Lora" w:hAnsi="Lora"/>
        </w:rPr>
        <w:t xml:space="preserve">The disease first becomes apparent as cankers </w:t>
      </w:r>
      <w:r>
        <w:rPr>
          <w:rFonts w:ascii="Lora" w:hAnsi="Lora"/>
        </w:rPr>
        <w:t>develop</w:t>
      </w:r>
      <w:r w:rsidRPr="003860EF">
        <w:rPr>
          <w:rFonts w:ascii="Lora" w:hAnsi="Lora"/>
        </w:rPr>
        <w:t xml:space="preserve"> on stems of any size. Cankers expand laterally and may appear brown compared to healthy</w:t>
      </w:r>
      <w:r w:rsidRPr="003860EF">
        <w:t xml:space="preserve"> </w:t>
      </w:r>
      <w:r w:rsidRPr="003860EF">
        <w:rPr>
          <w:rFonts w:ascii="Lora" w:hAnsi="Lora"/>
        </w:rPr>
        <w:t xml:space="preserve">bark. Cankers may differ in appearance on different chestnut species, i.e. their appearance on </w:t>
      </w:r>
      <w:r w:rsidR="00221859">
        <w:rPr>
          <w:rFonts w:ascii="Lora" w:hAnsi="Lora"/>
        </w:rPr>
        <w:t>rough-barked</w:t>
      </w:r>
      <w:r w:rsidRPr="003860EF">
        <w:rPr>
          <w:rFonts w:ascii="Lora" w:hAnsi="Lora"/>
        </w:rPr>
        <w:t xml:space="preserve"> specimens (Fig. 1) may vary from their appearance on the smooth-barked American</w:t>
      </w:r>
      <w:r w:rsidRPr="003860EF">
        <w:t xml:space="preserve"> </w:t>
      </w:r>
      <w:r w:rsidRPr="003860EF">
        <w:rPr>
          <w:rFonts w:ascii="Lora" w:hAnsi="Lora"/>
        </w:rPr>
        <w:t>Chestnut. Additional diagnostic characteristics include the development of orange spore tendrils (masses of conidia) protruding from fruiting bodies on the cankered tissue (Fig. 2).</w:t>
      </w:r>
    </w:p>
    <w:p w14:paraId="1764BBBB" w14:textId="2E0D5189" w:rsidR="003F499A" w:rsidRPr="003F499A" w:rsidRDefault="00712DAC" w:rsidP="003F499A">
      <w:pPr>
        <w:spacing w:after="120"/>
        <w:rPr>
          <w:rFonts w:ascii="Work Sans" w:hAnsi="Work Sans"/>
          <w:b/>
          <w:color w:val="000000"/>
          <w:sz w:val="28"/>
          <w:szCs w:val="28"/>
        </w:rPr>
      </w:pPr>
      <w:r w:rsidRPr="005E4CFA">
        <w:rPr>
          <w:rFonts w:ascii="Work Sans" w:hAnsi="Work Sans"/>
          <w:b/>
          <w:color w:val="000000"/>
          <w:sz w:val="28"/>
          <w:szCs w:val="28"/>
        </w:rPr>
        <w:t>Disease Cycle</w:t>
      </w:r>
    </w:p>
    <w:p w14:paraId="3C496662" w14:textId="17036145" w:rsidR="003F499A" w:rsidRDefault="003F499A" w:rsidP="003F499A">
      <w:pPr>
        <w:spacing w:after="120" w:line="240" w:lineRule="auto"/>
        <w:rPr>
          <w:rFonts w:ascii="Lora" w:hAnsi="Lora"/>
        </w:rPr>
      </w:pPr>
      <w:proofErr w:type="spellStart"/>
      <w:r w:rsidRPr="003F499A">
        <w:rPr>
          <w:rFonts w:ascii="Lora" w:hAnsi="Lora"/>
          <w:i/>
          <w:iCs/>
        </w:rPr>
        <w:t>Melampsora</w:t>
      </w:r>
      <w:proofErr w:type="spellEnd"/>
      <w:r w:rsidRPr="003F499A">
        <w:rPr>
          <w:rFonts w:ascii="Lora" w:hAnsi="Lora"/>
          <w:i/>
          <w:iCs/>
        </w:rPr>
        <w:t xml:space="preserve"> </w:t>
      </w:r>
      <w:proofErr w:type="spellStart"/>
      <w:r w:rsidRPr="003F499A">
        <w:rPr>
          <w:rFonts w:ascii="Lora" w:hAnsi="Lora"/>
          <w:i/>
          <w:iCs/>
        </w:rPr>
        <w:t>farlowii</w:t>
      </w:r>
      <w:proofErr w:type="spellEnd"/>
      <w:r w:rsidRPr="003F499A">
        <w:rPr>
          <w:rFonts w:ascii="Lora" w:hAnsi="Lora"/>
        </w:rPr>
        <w:t xml:space="preserve"> is an autoecious rust, producing only teliospores (</w:t>
      </w:r>
      <w:proofErr w:type="spellStart"/>
      <w:r w:rsidRPr="003F499A">
        <w:rPr>
          <w:rFonts w:ascii="Lora" w:hAnsi="Lora"/>
        </w:rPr>
        <w:t>probasidia</w:t>
      </w:r>
      <w:proofErr w:type="spellEnd"/>
      <w:r w:rsidRPr="003F499A">
        <w:rPr>
          <w:rFonts w:ascii="Lora" w:hAnsi="Lora"/>
        </w:rPr>
        <w:t xml:space="preserve">) and basidiospores on attacked cones, needles, and twigs (Fig. 1). Given favorable meteorological conditions (i.e., cool, </w:t>
      </w:r>
      <w:r>
        <w:rPr>
          <w:rFonts w:ascii="Lora" w:hAnsi="Lora"/>
        </w:rPr>
        <w:t>wet weather</w:t>
      </w:r>
      <w:r w:rsidRPr="003F499A">
        <w:rPr>
          <w:rFonts w:ascii="Lora" w:hAnsi="Lora"/>
        </w:rPr>
        <w:t xml:space="preserve">), teliospores germinate in place producing basidiospores in </w:t>
      </w:r>
      <w:r w:rsidRPr="003F499A">
        <w:rPr>
          <w:rFonts w:ascii="Lora" w:hAnsi="Lora"/>
        </w:rPr>
        <w:t xml:space="preserve">spring and early summer (May –June). Basidiospores infect current year’s growth and cones, and shortly thereafter (2 –4 </w:t>
      </w:r>
      <w:r w:rsidR="004C79EF" w:rsidRPr="003F499A">
        <w:rPr>
          <w:rFonts w:ascii="Lora" w:hAnsi="Lora"/>
        </w:rPr>
        <w:t>wks.</w:t>
      </w:r>
      <w:r w:rsidRPr="003F499A">
        <w:rPr>
          <w:rFonts w:ascii="Lora" w:hAnsi="Lora"/>
        </w:rPr>
        <w:t xml:space="preserve">), telia appear on affected twigs and needles. Telia mature throughout the growing season and represent the overwintering stage of the fungus, giving rise to basidiospores the following spring. </w:t>
      </w:r>
    </w:p>
    <w:p w14:paraId="287D2ADC" w14:textId="2B2B6EE1" w:rsidR="003F499A" w:rsidRPr="003860EF" w:rsidRDefault="003F499A" w:rsidP="003F499A">
      <w:pPr>
        <w:spacing w:after="120" w:line="240" w:lineRule="auto"/>
        <w:rPr>
          <w:rFonts w:ascii="Lora" w:hAnsi="Lora"/>
        </w:rPr>
      </w:pPr>
      <w:r w:rsidRPr="003F499A">
        <w:rPr>
          <w:rFonts w:ascii="Lora" w:hAnsi="Lora"/>
        </w:rPr>
        <w:t>As with many diseases, hemlock twig rust is significantly affected by prevalent weather conditions. In spring (late April – early June), ten or more continuous hours of precipitation appear to be required for teliospore germination and the resultant production of basidiospores. Thus, cool (50 –64° F), wet weather lasting greater than one-day is sufficient for teliospore germination and the production of basidiospores. Factors influencing the germination of basidiospores are unclear; however, conditions conducive for teliospore germination appear to be sufficient for basidiospore germination and the infection of hemlock.</w:t>
      </w:r>
    </w:p>
    <w:p w14:paraId="24C915B8" w14:textId="6C8721B6" w:rsidR="00117CDE" w:rsidRPr="00221859" w:rsidRDefault="003860EF" w:rsidP="00221859">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3F499A">
        <w:rPr>
          <w:rFonts w:ascii="Work Sans" w:hAnsi="Work Sans"/>
          <w:b/>
          <w:color w:val="000000"/>
          <w:sz w:val="28"/>
          <w:szCs w:val="28"/>
        </w:rPr>
        <w:t>and Control</w:t>
      </w:r>
    </w:p>
    <w:p w14:paraId="55765928" w14:textId="77777777" w:rsidR="003F499A" w:rsidRDefault="003F499A" w:rsidP="003F499A">
      <w:pPr>
        <w:spacing w:after="120" w:line="240" w:lineRule="auto"/>
        <w:rPr>
          <w:rFonts w:ascii="Lora" w:hAnsi="Lora"/>
        </w:rPr>
      </w:pPr>
      <w:r w:rsidRPr="003F499A">
        <w:rPr>
          <w:rFonts w:ascii="Lora" w:hAnsi="Lora"/>
        </w:rPr>
        <w:t xml:space="preserve">Recommendations –see p. 111 of the Pest Management Guide for Commercial Production and Maintenance of Trees and Shrubs (2010). </w:t>
      </w:r>
    </w:p>
    <w:p w14:paraId="1D5F6A4A" w14:textId="1DA57155" w:rsidR="003F499A" w:rsidRDefault="003F499A" w:rsidP="003F499A">
      <w:pPr>
        <w:spacing w:after="120" w:line="240" w:lineRule="auto"/>
        <w:rPr>
          <w:rFonts w:ascii="Lora" w:hAnsi="Lora"/>
        </w:rPr>
      </w:pPr>
      <w:r w:rsidRPr="003F499A">
        <w:rPr>
          <w:rFonts w:ascii="Lora" w:hAnsi="Lora"/>
          <w:b/>
          <w:bCs/>
        </w:rPr>
        <w:t>Chemical control:</w:t>
      </w:r>
      <w:r w:rsidRPr="003F499A">
        <w:rPr>
          <w:rFonts w:ascii="Lora" w:hAnsi="Lora"/>
        </w:rPr>
        <w:t xml:space="preserve"> </w:t>
      </w:r>
      <w:r w:rsidR="00C673A3">
        <w:rPr>
          <w:rFonts w:ascii="Lora" w:hAnsi="Lora"/>
        </w:rPr>
        <w:t>Some products containing one of the following active ingredients may be labeled for this use:</w:t>
      </w:r>
      <w:r w:rsidRPr="003F499A">
        <w:rPr>
          <w:rFonts w:ascii="Lora" w:hAnsi="Lora"/>
        </w:rPr>
        <w:t xml:space="preserve"> triadimefon, neem oil</w:t>
      </w:r>
      <w:r w:rsidR="0066647A">
        <w:rPr>
          <w:rFonts w:ascii="Lora" w:hAnsi="Lora"/>
        </w:rPr>
        <w:t>,</w:t>
      </w:r>
      <w:r w:rsidRPr="003F499A">
        <w:rPr>
          <w:rFonts w:ascii="Lora" w:hAnsi="Lora"/>
        </w:rPr>
        <w:t xml:space="preserve"> or mancozeb</w:t>
      </w:r>
      <w:r w:rsidR="00C673A3">
        <w:rPr>
          <w:rFonts w:ascii="Lora" w:hAnsi="Lora"/>
        </w:rPr>
        <w:t>. Apply o</w:t>
      </w:r>
      <w:r w:rsidRPr="003F499A">
        <w:rPr>
          <w:rFonts w:ascii="Lora" w:hAnsi="Lora"/>
        </w:rPr>
        <w:t>nce when buds break and twice at 7 – 14-day intervals</w:t>
      </w:r>
      <w:r w:rsidR="00C673A3">
        <w:rPr>
          <w:rFonts w:ascii="Lora" w:hAnsi="Lora"/>
        </w:rPr>
        <w:t xml:space="preserve"> or per label directions </w:t>
      </w:r>
    </w:p>
    <w:p w14:paraId="44A3FCE8" w14:textId="707D6216" w:rsidR="003F499A" w:rsidRPr="00221859" w:rsidRDefault="003F499A" w:rsidP="003F499A">
      <w:pPr>
        <w:spacing w:after="120" w:line="240" w:lineRule="auto"/>
        <w:rPr>
          <w:rFonts w:ascii="Lora" w:hAnsi="Lora"/>
        </w:rPr>
      </w:pPr>
      <w:r w:rsidRPr="003F499A">
        <w:rPr>
          <w:rFonts w:ascii="Lora" w:hAnsi="Lora"/>
          <w:b/>
          <w:bCs/>
        </w:rPr>
        <w:t>Cultural control:</w:t>
      </w:r>
      <w:r w:rsidRPr="003F499A">
        <w:rPr>
          <w:rFonts w:ascii="Lora" w:hAnsi="Lora"/>
        </w:rPr>
        <w:t xml:space="preserve"> Where </w:t>
      </w:r>
      <w:r>
        <w:rPr>
          <w:rFonts w:ascii="Lora" w:hAnsi="Lora"/>
        </w:rPr>
        <w:t xml:space="preserve">the </w:t>
      </w:r>
      <w:r w:rsidRPr="003F499A">
        <w:rPr>
          <w:rFonts w:ascii="Lora" w:hAnsi="Lora"/>
        </w:rPr>
        <w:t>disease is severe, do not plant susceptible hemlocks. Inoculum produced within infected nursery beds or cultures will persist.</w:t>
      </w:r>
    </w:p>
    <w:p w14:paraId="308343EB" w14:textId="77777777" w:rsidR="00221859" w:rsidRDefault="00221859" w:rsidP="00086928">
      <w:pPr>
        <w:rPr>
          <w:rFonts w:ascii="Lora" w:hAnsi="Lora" w:cs="Times New Roman"/>
        </w:rPr>
        <w:sectPr w:rsidR="00221859" w:rsidSect="00437088">
          <w:type w:val="continuous"/>
          <w:pgSz w:w="12240" w:h="15840"/>
          <w:pgMar w:top="720" w:right="720" w:bottom="720" w:left="720" w:header="720" w:footer="720" w:gutter="0"/>
          <w:cols w:num="2" w:space="720"/>
          <w:docGrid w:linePitch="360"/>
        </w:sectPr>
      </w:pPr>
    </w:p>
    <w:p w14:paraId="5B6E61EE" w14:textId="77777777" w:rsidR="003F499A" w:rsidRDefault="003F499A" w:rsidP="002436C0">
      <w:pPr>
        <w:spacing w:after="120"/>
        <w:rPr>
          <w:rFonts w:ascii="Work Sans" w:hAnsi="Work Sans"/>
          <w:b/>
          <w:color w:val="000000"/>
          <w:sz w:val="28"/>
          <w:szCs w:val="28"/>
        </w:rPr>
      </w:pPr>
    </w:p>
    <w:p w14:paraId="62C2F0B6" w14:textId="19F34E0E"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Pr="00724758">
        <w:rPr>
          <w:rFonts w:ascii="Lora" w:hAnsi="Lora"/>
          <w:b/>
          <w:color w:val="000000"/>
        </w:rPr>
        <w:t xml:space="preserve"> </w:t>
      </w:r>
      <w:r w:rsidR="003F499A">
        <w:rPr>
          <w:rFonts w:ascii="Lora" w:hAnsi="Lora"/>
        </w:rPr>
        <w:t>S. C. Kenaley and George W. Hudler</w:t>
      </w:r>
      <w:r w:rsidRPr="002436C0">
        <w:rPr>
          <w:rFonts w:ascii="Lora" w:hAnsi="Lora"/>
        </w:rPr>
        <w:t xml:space="preserve">; Updated </w:t>
      </w:r>
      <w:r w:rsidR="004C79EF">
        <w:rPr>
          <w:rFonts w:ascii="Lora" w:hAnsi="Lora"/>
        </w:rPr>
        <w:t>by SLJ2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65FF5D62" w:rsidR="00117CDE" w:rsidRDefault="00982A07" w:rsidP="00982A07">
      <w:pPr>
        <w:spacing w:after="0"/>
        <w:rPr>
          <w:rFonts w:ascii="Lora" w:hAnsi="Lora"/>
          <w:color w:val="000000"/>
        </w:rPr>
      </w:pPr>
      <w:r w:rsidRPr="00117CDE">
        <w:rPr>
          <w:rFonts w:ascii="Lora" w:hAnsi="Lora"/>
          <w:color w:val="000000"/>
        </w:rPr>
        <w:lastRenderedPageBreak/>
        <w:t xml:space="preserve">Email: </w:t>
      </w:r>
      <w:bookmarkStart w:id="1" w:name="_Hlk162533176"/>
      <w:r w:rsidR="004C79EF">
        <w:rPr>
          <w:rFonts w:ascii="Lora" w:hAnsi="Lora"/>
          <w:color w:val="000000"/>
        </w:rPr>
        <w:fldChar w:fldCharType="begin"/>
      </w:r>
      <w:r w:rsidR="004C79EF">
        <w:rPr>
          <w:rFonts w:ascii="Lora" w:hAnsi="Lora"/>
          <w:color w:val="000000"/>
        </w:rPr>
        <w:instrText>HYPERLINK "mailto:</w:instrText>
      </w:r>
      <w:r w:rsidR="004C79EF" w:rsidRPr="004C79EF">
        <w:rPr>
          <w:rFonts w:ascii="Lora" w:hAnsi="Lora"/>
          <w:color w:val="000000"/>
        </w:rPr>
        <w:instrText>Cornell-plantdiseaseclinic@cornell.edu</w:instrText>
      </w:r>
      <w:r w:rsidR="004C79EF">
        <w:rPr>
          <w:rFonts w:ascii="Lora" w:hAnsi="Lora"/>
          <w:color w:val="000000"/>
        </w:rPr>
        <w:instrText>"</w:instrText>
      </w:r>
      <w:r w:rsidR="004C79EF">
        <w:rPr>
          <w:rFonts w:ascii="Lora" w:hAnsi="Lora"/>
          <w:color w:val="000000"/>
        </w:rPr>
      </w:r>
      <w:r w:rsidR="004C79EF">
        <w:rPr>
          <w:rFonts w:ascii="Lora" w:hAnsi="Lora"/>
          <w:color w:val="000000"/>
        </w:rPr>
        <w:fldChar w:fldCharType="separate"/>
      </w:r>
      <w:r w:rsidR="004C79EF" w:rsidRPr="00DE6B31">
        <w:rPr>
          <w:rStyle w:val="Hyperlink"/>
          <w:rFonts w:ascii="Lora" w:hAnsi="Lora"/>
        </w:rPr>
        <w:t>Cornell-plantdiseaseclinic@cornell.edu</w:t>
      </w:r>
      <w:bookmarkEnd w:id="1"/>
      <w:r w:rsidR="004C79EF">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6928"/>
    <w:rsid w:val="000D64CA"/>
    <w:rsid w:val="000F06D2"/>
    <w:rsid w:val="00117CDE"/>
    <w:rsid w:val="00141E2E"/>
    <w:rsid w:val="001433B4"/>
    <w:rsid w:val="0016552F"/>
    <w:rsid w:val="001A1913"/>
    <w:rsid w:val="001C44C4"/>
    <w:rsid w:val="00221859"/>
    <w:rsid w:val="0022664F"/>
    <w:rsid w:val="002428A1"/>
    <w:rsid w:val="002436C0"/>
    <w:rsid w:val="00283E81"/>
    <w:rsid w:val="003621F8"/>
    <w:rsid w:val="00384F40"/>
    <w:rsid w:val="003860EF"/>
    <w:rsid w:val="003B754B"/>
    <w:rsid w:val="003D6C2B"/>
    <w:rsid w:val="003D7E09"/>
    <w:rsid w:val="003F499A"/>
    <w:rsid w:val="00437088"/>
    <w:rsid w:val="004778F5"/>
    <w:rsid w:val="004C79EF"/>
    <w:rsid w:val="00582EEA"/>
    <w:rsid w:val="005E4CFA"/>
    <w:rsid w:val="005F7428"/>
    <w:rsid w:val="00640C1A"/>
    <w:rsid w:val="0066647A"/>
    <w:rsid w:val="00676BE3"/>
    <w:rsid w:val="00692AC8"/>
    <w:rsid w:val="006C4487"/>
    <w:rsid w:val="006F1DC4"/>
    <w:rsid w:val="00705948"/>
    <w:rsid w:val="00712DAC"/>
    <w:rsid w:val="00724758"/>
    <w:rsid w:val="007270A2"/>
    <w:rsid w:val="00773FF9"/>
    <w:rsid w:val="007860DB"/>
    <w:rsid w:val="007D4341"/>
    <w:rsid w:val="008508C6"/>
    <w:rsid w:val="008B6876"/>
    <w:rsid w:val="008E6118"/>
    <w:rsid w:val="009070B5"/>
    <w:rsid w:val="00920AF7"/>
    <w:rsid w:val="00947648"/>
    <w:rsid w:val="00960A0B"/>
    <w:rsid w:val="009662F3"/>
    <w:rsid w:val="00981BBA"/>
    <w:rsid w:val="00982A07"/>
    <w:rsid w:val="00A62DA2"/>
    <w:rsid w:val="00A72146"/>
    <w:rsid w:val="00AC0740"/>
    <w:rsid w:val="00B057EE"/>
    <w:rsid w:val="00B421C8"/>
    <w:rsid w:val="00B47C1A"/>
    <w:rsid w:val="00B57663"/>
    <w:rsid w:val="00B6147C"/>
    <w:rsid w:val="00B82B3C"/>
    <w:rsid w:val="00B87AF6"/>
    <w:rsid w:val="00B96351"/>
    <w:rsid w:val="00BC26F2"/>
    <w:rsid w:val="00BD60CA"/>
    <w:rsid w:val="00BF4746"/>
    <w:rsid w:val="00C554EE"/>
    <w:rsid w:val="00C673A3"/>
    <w:rsid w:val="00D02A87"/>
    <w:rsid w:val="00DD02DC"/>
    <w:rsid w:val="00E32C02"/>
    <w:rsid w:val="00E942EB"/>
    <w:rsid w:val="00EB3366"/>
    <w:rsid w:val="00EE31A4"/>
    <w:rsid w:val="00F07C1F"/>
    <w:rsid w:val="00FB0F94"/>
    <w:rsid w:val="00FF1881"/>
    <w:rsid w:val="00F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9</cp:revision>
  <cp:lastPrinted>2018-08-22T19:02:00Z</cp:lastPrinted>
  <dcterms:created xsi:type="dcterms:W3CDTF">2024-07-15T18:28:00Z</dcterms:created>
  <dcterms:modified xsi:type="dcterms:W3CDTF">2024-12-16T16:12:00Z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