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47688" w14:textId="63686E1A" w:rsidR="00086928" w:rsidRDefault="00015D46" w:rsidP="00086928">
      <w:pPr>
        <w:spacing w:after="0"/>
        <w:rPr>
          <w:rFonts w:ascii="Work Sans" w:hAnsi="Work Sans"/>
        </w:rPr>
      </w:pPr>
      <w:r>
        <w:rPr>
          <w:rFonts w:ascii="Work Sans" w:hAnsi="Work Sans"/>
          <w:noProof/>
        </w:rPr>
        <w:drawing>
          <wp:anchor distT="0" distB="0" distL="114300" distR="114300" simplePos="0" relativeHeight="251658240" behindDoc="0" locked="0" layoutInCell="1" allowOverlap="1" wp14:anchorId="087C8E5E" wp14:editId="5B0A0A2F">
            <wp:simplePos x="0" y="0"/>
            <wp:positionH relativeFrom="margin">
              <wp:posOffset>-85725</wp:posOffset>
            </wp:positionH>
            <wp:positionV relativeFrom="paragraph">
              <wp:posOffset>187960</wp:posOffset>
            </wp:positionV>
            <wp:extent cx="3209925" cy="1120140"/>
            <wp:effectExtent l="0" t="0" r="9525" b="3810"/>
            <wp:wrapSquare wrapText="bothSides"/>
            <wp:docPr id="1" name="Picture 1" descr="Cornell CALS: College of Agriculture and Life Sciences" title="C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ary Wordmark-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9925" cy="1120140"/>
                    </a:xfrm>
                    <a:prstGeom prst="rect">
                      <a:avLst/>
                    </a:prstGeom>
                  </pic:spPr>
                </pic:pic>
              </a:graphicData>
            </a:graphic>
            <wp14:sizeRelH relativeFrom="margin">
              <wp14:pctWidth>0</wp14:pctWidth>
            </wp14:sizeRelH>
            <wp14:sizeRelV relativeFrom="margin">
              <wp14:pctHeight>0</wp14:pctHeight>
            </wp14:sizeRelV>
          </wp:anchor>
        </w:drawing>
      </w:r>
    </w:p>
    <w:p w14:paraId="434EAEA9" w14:textId="642B1243" w:rsidR="00086928" w:rsidRDefault="00086928" w:rsidP="00086928">
      <w:pPr>
        <w:spacing w:after="0"/>
        <w:rPr>
          <w:rFonts w:ascii="Work Sans" w:hAnsi="Work Sans"/>
        </w:rPr>
      </w:pPr>
      <w:r>
        <w:rPr>
          <w:rFonts w:ascii="Work Sans" w:hAnsi="Work Sans"/>
        </w:rPr>
        <w:t xml:space="preserve">                                                                                    </w:t>
      </w:r>
    </w:p>
    <w:p w14:paraId="62DC121B" w14:textId="77777777" w:rsidR="00086928" w:rsidRDefault="00086928" w:rsidP="00086928">
      <w:pPr>
        <w:spacing w:after="0"/>
        <w:rPr>
          <w:rFonts w:ascii="Work Sans" w:hAnsi="Work Sans"/>
        </w:rPr>
      </w:pPr>
    </w:p>
    <w:p w14:paraId="107A3B51" w14:textId="3E537366" w:rsidR="00086928" w:rsidRDefault="00086928" w:rsidP="00086928">
      <w:pPr>
        <w:spacing w:after="0"/>
        <w:rPr>
          <w:rFonts w:ascii="Work Sans" w:hAnsi="Work Sans"/>
        </w:rPr>
      </w:pPr>
      <w:r>
        <w:rPr>
          <w:rFonts w:ascii="Work Sans" w:hAnsi="Work Sans"/>
        </w:rPr>
        <w:t xml:space="preserve">Plant Disease Diagnostic Clinic </w:t>
      </w:r>
    </w:p>
    <w:p w14:paraId="2C2719A1" w14:textId="4846223C" w:rsidR="007270A2" w:rsidRDefault="007270A2" w:rsidP="00086928">
      <w:pPr>
        <w:spacing w:after="0"/>
        <w:rPr>
          <w:rFonts w:ascii="Work Sans" w:hAnsi="Work Sans"/>
        </w:rPr>
      </w:pPr>
      <w:r>
        <w:rPr>
          <w:rFonts w:ascii="Work Sans" w:hAnsi="Work Sans"/>
        </w:rPr>
        <w:t>Plant Pathology and Plant-</w:t>
      </w:r>
      <w:r w:rsidR="00B87AF6">
        <w:rPr>
          <w:rFonts w:ascii="Work Sans" w:hAnsi="Work Sans"/>
        </w:rPr>
        <w:t>Microbe Biology Section</w:t>
      </w:r>
      <w:r w:rsidR="00B87AF6">
        <w:rPr>
          <w:rFonts w:ascii="Work Sans" w:hAnsi="Work Sans"/>
        </w:rPr>
        <w:br/>
      </w:r>
      <w:r w:rsidR="00086928">
        <w:rPr>
          <w:rFonts w:ascii="Work Sans" w:hAnsi="Work Sans"/>
        </w:rPr>
        <w:t xml:space="preserve">329 </w:t>
      </w:r>
      <w:r w:rsidR="00086928" w:rsidRPr="00086928">
        <w:rPr>
          <w:rFonts w:ascii="Work Sans" w:hAnsi="Work Sans"/>
        </w:rPr>
        <w:t>Plant Science Building Ithaca, NY 14853</w:t>
      </w:r>
      <w:r w:rsidR="00086928" w:rsidRPr="00086928">
        <w:rPr>
          <w:rFonts w:ascii="Times New Roman" w:hAnsi="Times New Roman" w:cs="Times New Roman"/>
        </w:rPr>
        <w:t>‐</w:t>
      </w:r>
      <w:r w:rsidR="00086928" w:rsidRPr="00086928">
        <w:rPr>
          <w:rFonts w:ascii="Work Sans" w:hAnsi="Work Sans"/>
        </w:rPr>
        <w:t>5904</w:t>
      </w:r>
      <w:r>
        <w:rPr>
          <w:rFonts w:ascii="Work Sans" w:hAnsi="Work Sans"/>
        </w:rPr>
        <w:br/>
      </w:r>
    </w:p>
    <w:p w14:paraId="13D24D38" w14:textId="77777777" w:rsidR="00086928" w:rsidRDefault="00086928">
      <w:pPr>
        <w:rPr>
          <w:rFonts w:ascii="Work Sans" w:hAnsi="Work Sans"/>
        </w:rPr>
      </w:pPr>
    </w:p>
    <w:p w14:paraId="55374E8A" w14:textId="0817AF8F" w:rsidR="00676BE3" w:rsidRPr="0058677B" w:rsidRDefault="00C80312">
      <w:pPr>
        <w:rPr>
          <w:rFonts w:ascii="Work Sans" w:hAnsi="Work Sans"/>
          <w:b/>
          <w:color w:val="000000" w:themeColor="text1"/>
          <w:sz w:val="44"/>
          <w:szCs w:val="44"/>
        </w:rPr>
        <w:sectPr w:rsidR="00676BE3" w:rsidRPr="0058677B" w:rsidSect="00437088">
          <w:pgSz w:w="12240" w:h="15840"/>
          <w:pgMar w:top="720" w:right="720" w:bottom="720" w:left="720" w:header="720" w:footer="720" w:gutter="0"/>
          <w:cols w:space="720"/>
          <w:docGrid w:linePitch="360"/>
        </w:sectPr>
      </w:pPr>
      <w:r>
        <w:rPr>
          <w:rFonts w:ascii="Work Sans" w:hAnsi="Work Sans"/>
          <w:b/>
          <w:color w:val="000000" w:themeColor="text1"/>
          <w:sz w:val="44"/>
          <w:szCs w:val="44"/>
        </w:rPr>
        <w:t>Maple Decline</w:t>
      </w:r>
      <w:r w:rsidR="00712DAC" w:rsidRPr="005E4CFA">
        <w:rPr>
          <w:rFonts w:ascii="Work Sans" w:hAnsi="Work Sans"/>
          <w:b/>
          <w:color w:val="000000" w:themeColor="text1"/>
          <w:sz w:val="44"/>
          <w:szCs w:val="44"/>
        </w:rPr>
        <w:t>:</w:t>
      </w:r>
      <w:r w:rsidR="0058677B">
        <w:rPr>
          <w:rFonts w:ascii="Work Sans" w:hAnsi="Work Sans"/>
          <w:b/>
          <w:color w:val="000000" w:themeColor="text1"/>
          <w:sz w:val="44"/>
          <w:szCs w:val="44"/>
        </w:rPr>
        <w:t xml:space="preserve"> </w:t>
      </w:r>
      <w:r w:rsidR="00722EC6" w:rsidRPr="00722EC6">
        <w:rPr>
          <w:rFonts w:ascii="Work Sans" w:hAnsi="Work Sans"/>
          <w:i/>
          <w:color w:val="000000" w:themeColor="text1"/>
          <w:sz w:val="36"/>
          <w:szCs w:val="36"/>
        </w:rPr>
        <w:t xml:space="preserve">Various </w:t>
      </w:r>
      <w:r>
        <w:rPr>
          <w:rFonts w:ascii="Work Sans" w:hAnsi="Work Sans"/>
          <w:i/>
          <w:color w:val="000000" w:themeColor="text1"/>
          <w:sz w:val="36"/>
          <w:szCs w:val="36"/>
        </w:rPr>
        <w:t>factors</w:t>
      </w:r>
    </w:p>
    <w:p w14:paraId="7911C627" w14:textId="4CE813EA" w:rsidR="005E4CFA" w:rsidRPr="005E4CFA" w:rsidRDefault="00712DAC" w:rsidP="00C554EE">
      <w:pPr>
        <w:spacing w:after="120"/>
        <w:rPr>
          <w:rFonts w:ascii="Work Sans" w:hAnsi="Work Sans"/>
          <w:b/>
          <w:color w:val="000000" w:themeColor="text1"/>
          <w:sz w:val="28"/>
          <w:szCs w:val="28"/>
        </w:rPr>
        <w:sectPr w:rsidR="005E4CFA" w:rsidRPr="005E4CFA" w:rsidSect="00437088">
          <w:type w:val="continuous"/>
          <w:pgSz w:w="12240" w:h="15840"/>
          <w:pgMar w:top="720" w:right="720" w:bottom="720" w:left="720" w:header="720" w:footer="720" w:gutter="0"/>
          <w:cols w:num="2" w:space="720"/>
          <w:docGrid w:linePitch="360"/>
        </w:sectPr>
      </w:pPr>
      <w:r w:rsidRPr="005E4CFA">
        <w:rPr>
          <w:rFonts w:ascii="Work Sans" w:hAnsi="Work Sans"/>
          <w:b/>
          <w:color w:val="000000" w:themeColor="text1"/>
          <w:sz w:val="28"/>
          <w:szCs w:val="28"/>
        </w:rPr>
        <w:t>Introduction</w:t>
      </w:r>
      <w:r w:rsidR="005E4CFA">
        <w:rPr>
          <w:rFonts w:ascii="Work Sans" w:hAnsi="Work Sans"/>
          <w:b/>
          <w:color w:val="000000" w:themeColor="text1"/>
          <w:sz w:val="28"/>
          <w:szCs w:val="28"/>
        </w:rPr>
        <w:t xml:space="preserve"> </w:t>
      </w:r>
    </w:p>
    <w:p w14:paraId="0C8E739A" w14:textId="77777777" w:rsidR="00FB2896" w:rsidRDefault="00FB2896" w:rsidP="00D8288E">
      <w:pPr>
        <w:spacing w:after="120"/>
        <w:rPr>
          <w:rFonts w:ascii="Lora" w:hAnsi="Lora" w:cs="AGaramondPro-Regular"/>
        </w:rPr>
      </w:pPr>
      <w:r w:rsidRPr="00FB2896">
        <w:rPr>
          <w:rFonts w:ascii="Lora" w:hAnsi="Lora" w:cs="AGaramondPro-Regular"/>
        </w:rPr>
        <w:t>Maple decline affects primarily sugar maple (</w:t>
      </w:r>
      <w:r w:rsidRPr="00FB2896">
        <w:rPr>
          <w:rFonts w:ascii="Lora" w:hAnsi="Lora" w:cs="AGaramondPro-Regular"/>
          <w:i/>
          <w:iCs/>
        </w:rPr>
        <w:t>Acer saccharum</w:t>
      </w:r>
      <w:r w:rsidRPr="00FB2896">
        <w:rPr>
          <w:rFonts w:ascii="Lora" w:hAnsi="Lora" w:cs="AGaramondPro-Regular"/>
        </w:rPr>
        <w:t>), Norway maple (</w:t>
      </w:r>
      <w:r w:rsidRPr="00FB2896">
        <w:rPr>
          <w:rFonts w:ascii="Lora" w:hAnsi="Lora" w:cs="AGaramondPro-Regular"/>
          <w:i/>
          <w:iCs/>
        </w:rPr>
        <w:t xml:space="preserve">A. </w:t>
      </w:r>
      <w:proofErr w:type="spellStart"/>
      <w:r w:rsidRPr="00FB2896">
        <w:rPr>
          <w:rFonts w:ascii="Lora" w:hAnsi="Lora" w:cs="AGaramondPro-Regular"/>
          <w:i/>
          <w:iCs/>
        </w:rPr>
        <w:t>platanoides</w:t>
      </w:r>
      <w:proofErr w:type="spellEnd"/>
      <w:r w:rsidRPr="00FB2896">
        <w:rPr>
          <w:rFonts w:ascii="Lora" w:hAnsi="Lora" w:cs="AGaramondPro-Regular"/>
        </w:rPr>
        <w:t>) and red maple (</w:t>
      </w:r>
      <w:r w:rsidRPr="00FB2896">
        <w:rPr>
          <w:rFonts w:ascii="Lora" w:hAnsi="Lora" w:cs="AGaramondPro-Regular"/>
          <w:i/>
          <w:iCs/>
        </w:rPr>
        <w:t>A. rubrum</w:t>
      </w:r>
      <w:r w:rsidRPr="00FB2896">
        <w:rPr>
          <w:rFonts w:ascii="Lora" w:hAnsi="Lora" w:cs="AGaramondPro-Regular"/>
        </w:rPr>
        <w:t xml:space="preserve">) in the Northeast. The problem is not a new one; </w:t>
      </w:r>
      <w:proofErr w:type="spellStart"/>
      <w:r w:rsidRPr="00FB2896">
        <w:rPr>
          <w:rFonts w:ascii="Lora" w:hAnsi="Lora" w:cs="AGaramondPro-Regular"/>
        </w:rPr>
        <w:t>stagheaded</w:t>
      </w:r>
      <w:proofErr w:type="spellEnd"/>
      <w:r w:rsidRPr="00FB2896">
        <w:rPr>
          <w:rFonts w:ascii="Lora" w:hAnsi="Lora" w:cs="AGaramondPro-Regular"/>
        </w:rPr>
        <w:t xml:space="preserve"> maples were described as early as 1917 in Massachusetts. At that time, dieback was attributed mainly to drought and to the poor conditions for tree growth afforded by the urban environment. However, reports of the incidence and severity of maple decline have increased markedly in recent decades and now include trees in urban, sugarbush, and forest environments. </w:t>
      </w:r>
    </w:p>
    <w:p w14:paraId="02B9D59A" w14:textId="6E1C7F03" w:rsidR="00A96D02" w:rsidRDefault="00FB2896" w:rsidP="00D8288E">
      <w:pPr>
        <w:spacing w:after="120"/>
        <w:rPr>
          <w:rFonts w:ascii="Lora" w:hAnsi="Lora" w:cs="AGaramondPro-Regular"/>
        </w:rPr>
      </w:pPr>
      <w:r w:rsidRPr="00FB2896">
        <w:rPr>
          <w:rFonts w:ascii="Lora" w:hAnsi="Lora" w:cs="AGaramondPro-Regular"/>
        </w:rPr>
        <w:t xml:space="preserve">In forests, maples usually begin </w:t>
      </w:r>
      <w:r w:rsidR="001A1A8C">
        <w:rPr>
          <w:rFonts w:ascii="Lora" w:hAnsi="Lora" w:cs="AGaramondPro-Regular"/>
        </w:rPr>
        <w:t>to </w:t>
      </w:r>
      <w:r w:rsidRPr="00FB2896">
        <w:rPr>
          <w:rFonts w:ascii="Lora" w:hAnsi="Lora" w:cs="AGaramondPro-Regular"/>
        </w:rPr>
        <w:t>decline after several successive years of defoliation by insects. Affected trees not only lose their first set of leaves to these insects but will often use up valuable food reserves to produce a second set. During and after "</w:t>
      </w:r>
      <w:proofErr w:type="spellStart"/>
      <w:r w:rsidRPr="00FB2896">
        <w:rPr>
          <w:rFonts w:ascii="Lora" w:hAnsi="Lora" w:cs="AGaramondPro-Regular"/>
        </w:rPr>
        <w:t>refoliation</w:t>
      </w:r>
      <w:proofErr w:type="spellEnd"/>
      <w:r w:rsidRPr="00FB2896">
        <w:rPr>
          <w:rFonts w:ascii="Lora" w:hAnsi="Lora" w:cs="AGaramondPro-Regular"/>
        </w:rPr>
        <w:t xml:space="preserve">", chemical changes occur in the tree that increase its susceptibility to secondary pathogens. </w:t>
      </w:r>
      <w:r w:rsidRPr="00A96D02">
        <w:rPr>
          <w:rFonts w:ascii="Lora" w:hAnsi="Lora" w:cs="AGaramondPro-Regular"/>
          <w:i/>
          <w:iCs/>
        </w:rPr>
        <w:t xml:space="preserve">Armillaria </w:t>
      </w:r>
      <w:r w:rsidR="002F7961" w:rsidRPr="002F7961">
        <w:rPr>
          <w:rFonts w:ascii="Lora" w:hAnsi="Lora" w:cs="AGaramondPro-Regular"/>
        </w:rPr>
        <w:t>spp.</w:t>
      </w:r>
      <w:r w:rsidRPr="002F7961">
        <w:rPr>
          <w:rFonts w:ascii="Lora" w:hAnsi="Lora" w:cs="AGaramondPro-Regular"/>
        </w:rPr>
        <w:t xml:space="preserve"> </w:t>
      </w:r>
      <w:r w:rsidRPr="00FB2896">
        <w:rPr>
          <w:rFonts w:ascii="Lora" w:hAnsi="Lora" w:cs="AGaramondPro-Regular"/>
        </w:rPr>
        <w:t xml:space="preserve">(root rot), </w:t>
      </w:r>
      <w:proofErr w:type="spellStart"/>
      <w:r w:rsidRPr="00A96D02">
        <w:rPr>
          <w:rFonts w:ascii="Lora" w:hAnsi="Lora" w:cs="AGaramondPro-Regular"/>
          <w:i/>
          <w:iCs/>
        </w:rPr>
        <w:t>Nectria</w:t>
      </w:r>
      <w:proofErr w:type="spellEnd"/>
      <w:r w:rsidRPr="00A96D02">
        <w:rPr>
          <w:rFonts w:ascii="Lora" w:hAnsi="Lora" w:cs="AGaramondPro-Regular"/>
          <w:i/>
          <w:iCs/>
        </w:rPr>
        <w:t xml:space="preserve"> </w:t>
      </w:r>
      <w:proofErr w:type="spellStart"/>
      <w:r w:rsidRPr="00A96D02">
        <w:rPr>
          <w:rFonts w:ascii="Lora" w:hAnsi="Lora" w:cs="AGaramondPro-Regular"/>
          <w:i/>
          <w:iCs/>
        </w:rPr>
        <w:t>cinnabarina</w:t>
      </w:r>
      <w:proofErr w:type="spellEnd"/>
      <w:r w:rsidRPr="00FB2896">
        <w:rPr>
          <w:rFonts w:ascii="Lora" w:hAnsi="Lora" w:cs="AGaramondPro-Regular"/>
        </w:rPr>
        <w:t xml:space="preserve"> (branch canker) and </w:t>
      </w:r>
      <w:proofErr w:type="spellStart"/>
      <w:r w:rsidRPr="00A96D02">
        <w:rPr>
          <w:rFonts w:ascii="Lora" w:hAnsi="Lora" w:cs="AGaramondPro-Regular"/>
          <w:i/>
          <w:iCs/>
        </w:rPr>
        <w:t>Steganosporium</w:t>
      </w:r>
      <w:proofErr w:type="spellEnd"/>
      <w:r w:rsidRPr="00A96D02">
        <w:rPr>
          <w:rFonts w:ascii="Lora" w:hAnsi="Lora" w:cs="AGaramondPro-Regular"/>
          <w:i/>
          <w:iCs/>
        </w:rPr>
        <w:t xml:space="preserve"> </w:t>
      </w:r>
      <w:proofErr w:type="spellStart"/>
      <w:r w:rsidRPr="00A96D02">
        <w:rPr>
          <w:rFonts w:ascii="Lora" w:hAnsi="Lora" w:cs="AGaramondPro-Regular"/>
          <w:i/>
          <w:iCs/>
        </w:rPr>
        <w:t>ovatum</w:t>
      </w:r>
      <w:proofErr w:type="spellEnd"/>
      <w:r w:rsidRPr="00FB2896">
        <w:rPr>
          <w:rFonts w:ascii="Lora" w:hAnsi="Lora" w:cs="AGaramondPro-Regular"/>
        </w:rPr>
        <w:t xml:space="preserve"> (twig blight) are three fungi that frequently attack and may kill trees weakened by defoliation and </w:t>
      </w:r>
      <w:proofErr w:type="spellStart"/>
      <w:r w:rsidRPr="00FB2896">
        <w:rPr>
          <w:rFonts w:ascii="Lora" w:hAnsi="Lora" w:cs="AGaramondPro-Regular"/>
        </w:rPr>
        <w:t>refoliation</w:t>
      </w:r>
      <w:proofErr w:type="spellEnd"/>
      <w:r w:rsidRPr="00FB2896">
        <w:rPr>
          <w:rFonts w:ascii="Lora" w:hAnsi="Lora" w:cs="AGaramondPro-Regular"/>
        </w:rPr>
        <w:t xml:space="preserve">.  </w:t>
      </w:r>
    </w:p>
    <w:p w14:paraId="5AD73605" w14:textId="5E30CB53" w:rsidR="00CB15FE" w:rsidRDefault="00FB2896" w:rsidP="00D8288E">
      <w:pPr>
        <w:spacing w:after="120"/>
        <w:rPr>
          <w:rFonts w:ascii="Lora" w:hAnsi="Lora" w:cs="AGaramondPro-Regular"/>
        </w:rPr>
      </w:pPr>
      <w:r w:rsidRPr="00FB2896">
        <w:rPr>
          <w:rFonts w:ascii="Lora" w:hAnsi="Lora" w:cs="AGaramondPro-Regular"/>
        </w:rPr>
        <w:t>In sugar-bushes, predisposing stresses include drought, heavy grazing, over-tapping, and/or heavy traffic by farm machinery. Se</w:t>
      </w:r>
      <w:r w:rsidR="002F7961">
        <w:rPr>
          <w:rFonts w:ascii="Lora" w:hAnsi="Lora" w:cs="AGaramondPro-Regular"/>
        </w:rPr>
        <w:t>verel</w:t>
      </w:r>
      <w:r w:rsidRPr="00FB2896">
        <w:rPr>
          <w:rFonts w:ascii="Lora" w:hAnsi="Lora" w:cs="AGaramondPro-Regular"/>
        </w:rPr>
        <w:t xml:space="preserve">y affected trees are often over-mature and </w:t>
      </w:r>
      <w:r w:rsidR="002F7961">
        <w:rPr>
          <w:rFonts w:ascii="Lora" w:hAnsi="Lora" w:cs="AGaramondPro-Regular"/>
        </w:rPr>
        <w:t xml:space="preserve">may </w:t>
      </w:r>
      <w:r w:rsidRPr="00FB2896">
        <w:rPr>
          <w:rFonts w:ascii="Lora" w:hAnsi="Lora" w:cs="AGaramondPro-Regular"/>
        </w:rPr>
        <w:t xml:space="preserve">have been heavily tapped for many years. Tapping holes, animal-damaged roots, and machine-damaged roots are all </w:t>
      </w:r>
      <w:r w:rsidR="002F7961">
        <w:rPr>
          <w:rFonts w:ascii="Lora" w:hAnsi="Lora" w:cs="AGaramondPro-Regular"/>
        </w:rPr>
        <w:t>points of</w:t>
      </w:r>
      <w:r w:rsidRPr="00FB2896">
        <w:rPr>
          <w:rFonts w:ascii="Lora" w:hAnsi="Lora" w:cs="AGaramondPro-Regular"/>
        </w:rPr>
        <w:t xml:space="preserve"> entry of wood decay organisms. If this scenario is followed by insect defoliation as previously </w:t>
      </w:r>
      <w:r w:rsidRPr="00FB2896">
        <w:rPr>
          <w:rFonts w:ascii="Lora" w:hAnsi="Lora" w:cs="AGaramondPro-Regular"/>
        </w:rPr>
        <w:t xml:space="preserve">described, the result </w:t>
      </w:r>
      <w:r w:rsidR="002F7961">
        <w:rPr>
          <w:rFonts w:ascii="Lora" w:hAnsi="Lora" w:cs="AGaramondPro-Regular"/>
        </w:rPr>
        <w:t>may be</w:t>
      </w:r>
      <w:r w:rsidR="0073478B">
        <w:rPr>
          <w:rFonts w:ascii="Lora" w:hAnsi="Lora" w:cs="AGaramondPro-Regular"/>
        </w:rPr>
        <w:t> </w:t>
      </w:r>
      <w:r w:rsidRPr="00FB2896">
        <w:rPr>
          <w:rFonts w:ascii="Lora" w:hAnsi="Lora" w:cs="AGaramondPro-Regular"/>
        </w:rPr>
        <w:t xml:space="preserve">mortality of the stressed tree.  </w:t>
      </w:r>
    </w:p>
    <w:p w14:paraId="3C5262C3" w14:textId="77777777" w:rsidR="00CB15FE" w:rsidRDefault="00FB2896" w:rsidP="00D8288E">
      <w:pPr>
        <w:spacing w:after="120"/>
        <w:rPr>
          <w:rFonts w:ascii="Lora" w:hAnsi="Lora" w:cs="AGaramondPro-Regular"/>
        </w:rPr>
      </w:pPr>
      <w:r w:rsidRPr="00FB2896">
        <w:rPr>
          <w:rFonts w:ascii="Lora" w:hAnsi="Lora" w:cs="AGaramondPro-Regular"/>
        </w:rPr>
        <w:t xml:space="preserve">In urban sites principal stress factors in maple decline include drought, de-icing salts and/or road and sidewalk construction. These stresses also facilitate invasion by secondary organisms including root rots, decays and twig blights which greatly reduce chances of recovery from original stress(es).  </w:t>
      </w:r>
    </w:p>
    <w:p w14:paraId="0C7EE61B" w14:textId="3FA3B346" w:rsidR="00C80312" w:rsidRDefault="00FB2896" w:rsidP="00D8288E">
      <w:pPr>
        <w:spacing w:after="120"/>
        <w:rPr>
          <w:rFonts w:ascii="Lora" w:hAnsi="Lora" w:cs="AGaramondPro-Regular"/>
        </w:rPr>
      </w:pPr>
      <w:r w:rsidRPr="00FB2896">
        <w:rPr>
          <w:rFonts w:ascii="Lora" w:hAnsi="Lora" w:cs="AGaramondPro-Regular"/>
        </w:rPr>
        <w:t>No matter which of the three environments maple decline occurs in, the sequence of events is similar. Healthy trees are stressed repeatedly, the stresses alter the tree's internal chemistry to allow repeated attack</w:t>
      </w:r>
      <w:r w:rsidR="00CB15FE">
        <w:rPr>
          <w:rFonts w:ascii="Lora" w:hAnsi="Lora" w:cs="AGaramondPro-Regular"/>
        </w:rPr>
        <w:t>s</w:t>
      </w:r>
      <w:r w:rsidRPr="00FB2896">
        <w:rPr>
          <w:rFonts w:ascii="Lora" w:hAnsi="Lora" w:cs="AGaramondPro-Regular"/>
        </w:rPr>
        <w:t xml:space="preserve"> by secondary organisms, and the trees ultimately die.</w:t>
      </w:r>
    </w:p>
    <w:p w14:paraId="74250C00" w14:textId="7C6D912C" w:rsidR="0073478B" w:rsidRDefault="00E56368" w:rsidP="00E56368">
      <w:pPr>
        <w:spacing w:after="120"/>
        <w:jc w:val="center"/>
        <w:rPr>
          <w:rFonts w:ascii="Lora" w:hAnsi="Lora" w:cs="AGaramondPro-Regular"/>
        </w:rPr>
      </w:pPr>
      <w:r w:rsidRPr="00E56368">
        <w:rPr>
          <w:rFonts w:ascii="Lora" w:hAnsi="Lora" w:cs="AGaramondPro-Regular"/>
          <w:noProof/>
        </w:rPr>
        <w:drawing>
          <wp:inline distT="0" distB="0" distL="0" distR="0" wp14:anchorId="1267487D" wp14:editId="722678E0">
            <wp:extent cx="3313232" cy="2200275"/>
            <wp:effectExtent l="0" t="0" r="1905" b="0"/>
            <wp:docPr id="366918493" name="Picture 1"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18493" name="Picture 1" descr="A tree in front of a building&#10;&#10;Description automatically generated"/>
                    <pic:cNvPicPr/>
                  </pic:nvPicPr>
                  <pic:blipFill>
                    <a:blip r:embed="rId6"/>
                    <a:stretch>
                      <a:fillRect/>
                    </a:stretch>
                  </pic:blipFill>
                  <pic:spPr>
                    <a:xfrm>
                      <a:off x="0" y="0"/>
                      <a:ext cx="3313998" cy="2200784"/>
                    </a:xfrm>
                    <a:prstGeom prst="rect">
                      <a:avLst/>
                    </a:prstGeom>
                  </pic:spPr>
                </pic:pic>
              </a:graphicData>
            </a:graphic>
          </wp:inline>
        </w:drawing>
      </w:r>
    </w:p>
    <w:p w14:paraId="465ABF2A" w14:textId="258577C1" w:rsidR="00E56368" w:rsidRPr="00245CF4" w:rsidRDefault="00E56368" w:rsidP="00E56368">
      <w:pPr>
        <w:spacing w:after="120"/>
        <w:rPr>
          <w:rFonts w:ascii="Lora" w:hAnsi="Lora" w:cs="AGaramondPro-Regular"/>
          <w:sz w:val="20"/>
          <w:szCs w:val="20"/>
        </w:rPr>
      </w:pPr>
      <w:r w:rsidRPr="00245CF4">
        <w:rPr>
          <w:rFonts w:ascii="Lora" w:hAnsi="Lora" w:cs="AGaramondPro-Regular"/>
          <w:sz w:val="20"/>
          <w:szCs w:val="20"/>
        </w:rPr>
        <w:t>Figure 1: Early symptoms of off</w:t>
      </w:r>
      <w:r w:rsidR="00245CF4">
        <w:rPr>
          <w:rFonts w:ascii="Lora" w:hAnsi="Lora" w:cs="AGaramondPro-Regular"/>
          <w:sz w:val="20"/>
          <w:szCs w:val="20"/>
        </w:rPr>
        <w:t>-</w:t>
      </w:r>
      <w:r w:rsidR="00245CF4" w:rsidRPr="00245CF4">
        <w:rPr>
          <w:rFonts w:ascii="Lora" w:hAnsi="Lora" w:cs="AGaramondPro-Regular"/>
          <w:sz w:val="20"/>
          <w:szCs w:val="20"/>
        </w:rPr>
        <w:t>color foliage</w:t>
      </w:r>
      <w:r w:rsidR="00245CF4">
        <w:rPr>
          <w:rFonts w:ascii="Lora" w:hAnsi="Lora" w:cs="AGaramondPro-Regular"/>
          <w:sz w:val="20"/>
          <w:szCs w:val="20"/>
        </w:rPr>
        <w:t>.</w:t>
      </w:r>
    </w:p>
    <w:p w14:paraId="700605FE" w14:textId="0AEB00F7" w:rsidR="007F53B5" w:rsidRPr="00500C3D" w:rsidRDefault="00712DAC" w:rsidP="007F53B5">
      <w:pPr>
        <w:spacing w:after="120"/>
        <w:rPr>
          <w:rFonts w:ascii="Lora" w:hAnsi="Lora" w:cs="AGaramondPro-Regular"/>
        </w:rPr>
      </w:pPr>
      <w:r w:rsidRPr="005E4CFA">
        <w:rPr>
          <w:rFonts w:ascii="Work Sans" w:hAnsi="Work Sans"/>
          <w:b/>
          <w:color w:val="000000"/>
          <w:sz w:val="28"/>
          <w:szCs w:val="28"/>
        </w:rPr>
        <w:t>Symptoms and Signs</w:t>
      </w:r>
    </w:p>
    <w:p w14:paraId="2DA8A5E8" w14:textId="2F3A0FD8" w:rsidR="0033776F" w:rsidRDefault="00B256FC" w:rsidP="00724758">
      <w:pPr>
        <w:spacing w:after="120"/>
        <w:rPr>
          <w:rFonts w:ascii="Lora" w:hAnsi="Lora" w:cs="AGaramondPro-Regular"/>
        </w:rPr>
      </w:pPr>
      <w:r w:rsidRPr="0033776F">
        <w:rPr>
          <w:rFonts w:ascii="Lora" w:hAnsi="Lora" w:cs="AGaramondPro-Regular"/>
          <w:b/>
          <w:bCs/>
        </w:rPr>
        <w:t>Reduced twig growth.</w:t>
      </w:r>
      <w:r w:rsidRPr="00B256FC">
        <w:rPr>
          <w:rFonts w:ascii="Lora" w:hAnsi="Lora" w:cs="AGaramondPro-Regular"/>
        </w:rPr>
        <w:t xml:space="preserve"> Yearly twig growth varies considerably between trees and even within the canopies of individual trees. </w:t>
      </w:r>
      <w:r w:rsidR="009744F5">
        <w:rPr>
          <w:rFonts w:ascii="Lora" w:hAnsi="Lora" w:cs="AGaramondPro-Regular"/>
        </w:rPr>
        <w:t xml:space="preserve">Progressively </w:t>
      </w:r>
      <w:r w:rsidR="009744F5">
        <w:rPr>
          <w:rFonts w:ascii="Lora" w:hAnsi="Lora" w:cs="AGaramondPro-Regular"/>
        </w:rPr>
        <w:lastRenderedPageBreak/>
        <w:t>shorter twig growth over multiple years may be a sign of decline.</w:t>
      </w:r>
    </w:p>
    <w:p w14:paraId="1F5A2536" w14:textId="03726200" w:rsidR="0068737A" w:rsidRDefault="00B256FC" w:rsidP="00724758">
      <w:pPr>
        <w:spacing w:after="120"/>
        <w:rPr>
          <w:rFonts w:ascii="Lora" w:hAnsi="Lora" w:cs="AGaramondPro-Regular"/>
        </w:rPr>
      </w:pPr>
      <w:r w:rsidRPr="0033776F">
        <w:rPr>
          <w:rFonts w:ascii="Lora" w:hAnsi="Lora" w:cs="AGaramondPro-Regular"/>
          <w:b/>
          <w:bCs/>
        </w:rPr>
        <w:t>Reduced foliage growth.</w:t>
      </w:r>
      <w:r w:rsidRPr="00B256FC">
        <w:rPr>
          <w:rFonts w:ascii="Lora" w:hAnsi="Lora" w:cs="AGaramondPro-Regular"/>
        </w:rPr>
        <w:t xml:space="preserve"> Keep in mind the normal, healthy appearance of </w:t>
      </w:r>
      <w:r w:rsidR="009744F5">
        <w:rPr>
          <w:rFonts w:ascii="Lora" w:hAnsi="Lora" w:cs="AGaramondPro-Regular"/>
        </w:rPr>
        <w:t>a particular</w:t>
      </w:r>
      <w:r w:rsidRPr="00B256FC">
        <w:rPr>
          <w:rFonts w:ascii="Lora" w:hAnsi="Lora" w:cs="AGaramondPro-Regular"/>
        </w:rPr>
        <w:t xml:space="preserve"> </w:t>
      </w:r>
      <w:r w:rsidR="009744F5" w:rsidRPr="00B256FC">
        <w:rPr>
          <w:rFonts w:ascii="Lora" w:hAnsi="Lora" w:cs="AGaramondPro-Regular"/>
        </w:rPr>
        <w:t>maple</w:t>
      </w:r>
      <w:r w:rsidRPr="00B256FC">
        <w:rPr>
          <w:rFonts w:ascii="Lora" w:hAnsi="Lora" w:cs="AGaramondPro-Regular"/>
        </w:rPr>
        <w:t xml:space="preserve"> species' foliage. Foliage that is sparse, light green and/or scorched signals that the tree may be declining. </w:t>
      </w:r>
      <w:r w:rsidR="009744F5">
        <w:rPr>
          <w:rFonts w:ascii="Lora" w:hAnsi="Lora" w:cs="AGaramondPro-Regular"/>
        </w:rPr>
        <w:t>Widespread s</w:t>
      </w:r>
      <w:r w:rsidRPr="00B256FC">
        <w:rPr>
          <w:rFonts w:ascii="Lora" w:hAnsi="Lora" w:cs="AGaramondPro-Regular"/>
        </w:rPr>
        <w:t>corching may also be due to water stress, exposure to de-icing salts, or infection by a bacterium</w:t>
      </w:r>
      <w:r w:rsidRPr="0068737A">
        <w:rPr>
          <w:rFonts w:ascii="Lora" w:hAnsi="Lora" w:cs="AGaramondPro-Regular"/>
          <w:i/>
          <w:iCs/>
        </w:rPr>
        <w:t>, Xylella fastidiosa</w:t>
      </w:r>
      <w:r w:rsidRPr="00B256FC">
        <w:rPr>
          <w:rFonts w:ascii="Lora" w:hAnsi="Lora" w:cs="AGaramondPro-Regular"/>
        </w:rPr>
        <w:t xml:space="preserve">, the causal agent of Bacterial Leaf Scorch.  </w:t>
      </w:r>
    </w:p>
    <w:p w14:paraId="7840CA08" w14:textId="1306537D" w:rsidR="003C4E17" w:rsidRDefault="00B256FC" w:rsidP="00724758">
      <w:pPr>
        <w:spacing w:after="120"/>
        <w:rPr>
          <w:rFonts w:ascii="Lora" w:hAnsi="Lora" w:cs="AGaramondPro-Regular"/>
        </w:rPr>
      </w:pPr>
      <w:r w:rsidRPr="0068737A">
        <w:rPr>
          <w:rFonts w:ascii="Lora" w:hAnsi="Lora" w:cs="AGaramondPro-Regular"/>
          <w:b/>
          <w:bCs/>
        </w:rPr>
        <w:t>Early fall coloration</w:t>
      </w:r>
      <w:r w:rsidRPr="004B0C53">
        <w:rPr>
          <w:rFonts w:ascii="Lora" w:hAnsi="Lora" w:cs="AGaramondPro-Regular"/>
        </w:rPr>
        <w:t xml:space="preserve"> (Fig.</w:t>
      </w:r>
      <w:r w:rsidR="009744F5">
        <w:rPr>
          <w:rFonts w:ascii="Lora" w:hAnsi="Lora" w:cs="AGaramondPro-Regular"/>
        </w:rPr>
        <w:t xml:space="preserve"> </w:t>
      </w:r>
      <w:r w:rsidRPr="004B0C53">
        <w:rPr>
          <w:rFonts w:ascii="Lora" w:hAnsi="Lora" w:cs="AGaramondPro-Regular"/>
        </w:rPr>
        <w:t xml:space="preserve">1). </w:t>
      </w:r>
      <w:r w:rsidRPr="00B256FC">
        <w:rPr>
          <w:rFonts w:ascii="Lora" w:hAnsi="Lora" w:cs="AGaramondPro-Regular"/>
        </w:rPr>
        <w:t>Maples normally begin showing fall color after the first frost or in mid-to-late September. When fall color develops earlier than normal, in late July or early August, the maple may be suffering from decline. Where individual larger branches exhibit premature fall color, and leaves are noted to be small</w:t>
      </w:r>
      <w:r w:rsidR="0068737A">
        <w:rPr>
          <w:rFonts w:ascii="Lora" w:hAnsi="Lora" w:cs="AGaramondPro-Regular"/>
        </w:rPr>
        <w:t>,</w:t>
      </w:r>
      <w:r w:rsidRPr="00B256FC">
        <w:rPr>
          <w:rFonts w:ascii="Lora" w:hAnsi="Lora" w:cs="AGaramondPro-Regular"/>
        </w:rPr>
        <w:t xml:space="preserve"> however, that may be evidence of Verticillium Wilt. Analysis of symptomatic branch tissue by a diagnostic lab may be required to confirm</w:t>
      </w:r>
      <w:r w:rsidR="002F7961">
        <w:rPr>
          <w:rFonts w:ascii="Lora" w:hAnsi="Lora" w:cs="AGaramondPro-Regular"/>
        </w:rPr>
        <w:t xml:space="preserve"> a Verticillium</w:t>
      </w:r>
      <w:r w:rsidRPr="00B256FC">
        <w:rPr>
          <w:rFonts w:ascii="Lora" w:hAnsi="Lora" w:cs="AGaramondPro-Regular"/>
        </w:rPr>
        <w:t xml:space="preserve"> diagnosis</w:t>
      </w:r>
      <w:r w:rsidR="0033776F">
        <w:rPr>
          <w:rFonts w:ascii="Lora" w:hAnsi="Lora" w:cs="AGaramondPro-Regular"/>
        </w:rPr>
        <w:t>.</w:t>
      </w:r>
      <w:r w:rsidR="00CB5344">
        <w:rPr>
          <w:rFonts w:ascii="Lora" w:hAnsi="Lora" w:cs="AGaramondPro-Regular"/>
        </w:rPr>
        <w:t xml:space="preserve"> Verticillium can infect all species of maple as well as many additional trees and shrubs.</w:t>
      </w:r>
    </w:p>
    <w:p w14:paraId="1B51E210" w14:textId="77777777" w:rsidR="004B0C53" w:rsidRDefault="0047553D" w:rsidP="00724758">
      <w:pPr>
        <w:spacing w:after="120"/>
        <w:rPr>
          <w:rFonts w:ascii="Lora" w:hAnsi="Lora" w:cs="AGaramondPro-Regular"/>
        </w:rPr>
      </w:pPr>
      <w:r w:rsidRPr="0047553D">
        <w:rPr>
          <w:rFonts w:ascii="Lora" w:hAnsi="Lora" w:cs="AGaramondPro-Regular"/>
          <w:b/>
          <w:bCs/>
        </w:rPr>
        <w:t>Dead branches in upper canop</w:t>
      </w:r>
      <w:r w:rsidRPr="004B0C53">
        <w:rPr>
          <w:rFonts w:ascii="Lora" w:hAnsi="Lora" w:cs="AGaramondPro-Regular"/>
        </w:rPr>
        <w:t xml:space="preserve">y (Fig. 2). </w:t>
      </w:r>
      <w:r w:rsidRPr="0047553D">
        <w:rPr>
          <w:rFonts w:ascii="Lora" w:hAnsi="Lora" w:cs="AGaramondPro-Regular"/>
        </w:rPr>
        <w:t xml:space="preserve">Small dead branches seen in </w:t>
      </w:r>
      <w:r w:rsidR="001A1A8C" w:rsidRPr="0047553D">
        <w:rPr>
          <w:rFonts w:ascii="Lora" w:hAnsi="Lora" w:cs="AGaramondPro-Regular"/>
        </w:rPr>
        <w:t>treetops</w:t>
      </w:r>
      <w:r w:rsidRPr="0047553D">
        <w:rPr>
          <w:rFonts w:ascii="Lora" w:hAnsi="Lora" w:cs="AGaramondPro-Regular"/>
        </w:rPr>
        <w:t xml:space="preserve"> in late spring or early summer are indicative of decline. Over time, larger, more visible branches and limbs will dieback. The more numerous the dead twigs or branches are, the more severe the decline condition. </w:t>
      </w:r>
    </w:p>
    <w:p w14:paraId="5F622D1C" w14:textId="5F88B9EF" w:rsidR="004B0C53" w:rsidRDefault="004B0C53" w:rsidP="00724758">
      <w:pPr>
        <w:spacing w:after="120"/>
        <w:rPr>
          <w:rFonts w:ascii="Lora" w:hAnsi="Lora" w:cs="AGaramondPro-Regular"/>
        </w:rPr>
      </w:pPr>
      <w:r w:rsidRPr="00C60942">
        <w:rPr>
          <w:rFonts w:ascii="Lora" w:hAnsi="Lora" w:cs="AGaramondPro-Regular"/>
          <w:noProof/>
          <w:sz w:val="20"/>
          <w:szCs w:val="20"/>
        </w:rPr>
        <w:drawing>
          <wp:inline distT="0" distB="0" distL="0" distR="0" wp14:anchorId="79B5E9B3" wp14:editId="15766F63">
            <wp:extent cx="3200400" cy="2162432"/>
            <wp:effectExtent l="0" t="0" r="0" b="9525"/>
            <wp:docPr id="456250947" name="Picture 1"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50947" name="Picture 1" descr="A tree with green leaves&#10;&#10;Description automatically generated"/>
                    <pic:cNvPicPr/>
                  </pic:nvPicPr>
                  <pic:blipFill>
                    <a:blip r:embed="rId7"/>
                    <a:stretch>
                      <a:fillRect/>
                    </a:stretch>
                  </pic:blipFill>
                  <pic:spPr>
                    <a:xfrm>
                      <a:off x="0" y="0"/>
                      <a:ext cx="3200400" cy="2162432"/>
                    </a:xfrm>
                    <a:prstGeom prst="rect">
                      <a:avLst/>
                    </a:prstGeom>
                  </pic:spPr>
                </pic:pic>
              </a:graphicData>
            </a:graphic>
          </wp:inline>
        </w:drawing>
      </w:r>
    </w:p>
    <w:p w14:paraId="1633E299" w14:textId="2F5A4A4B" w:rsidR="004B0C53" w:rsidRDefault="004B0C53" w:rsidP="004B0C53">
      <w:pPr>
        <w:spacing w:after="120"/>
        <w:rPr>
          <w:rFonts w:ascii="Lora" w:hAnsi="Lora" w:cs="AGaramondPro-Regular"/>
          <w:sz w:val="20"/>
          <w:szCs w:val="20"/>
        </w:rPr>
      </w:pPr>
      <w:r w:rsidRPr="00C60942">
        <w:rPr>
          <w:rFonts w:ascii="Lora" w:hAnsi="Lora" w:cs="AGaramondPro-Regular"/>
          <w:sz w:val="20"/>
          <w:szCs w:val="20"/>
        </w:rPr>
        <w:t>Figure 2: Dieback in </w:t>
      </w:r>
      <w:r>
        <w:rPr>
          <w:rFonts w:ascii="Lora" w:hAnsi="Lora" w:cs="AGaramondPro-Regular"/>
          <w:sz w:val="20"/>
          <w:szCs w:val="20"/>
        </w:rPr>
        <w:t xml:space="preserve">the upper </w:t>
      </w:r>
      <w:r w:rsidRPr="00C60942">
        <w:rPr>
          <w:rFonts w:ascii="Lora" w:hAnsi="Lora" w:cs="AGaramondPro-Regular"/>
          <w:sz w:val="20"/>
          <w:szCs w:val="20"/>
        </w:rPr>
        <w:t>crown with</w:t>
      </w:r>
      <w:r>
        <w:rPr>
          <w:rFonts w:ascii="Lora" w:hAnsi="Lora" w:cs="AGaramondPro-Regular"/>
          <w:sz w:val="20"/>
          <w:szCs w:val="20"/>
        </w:rPr>
        <w:t xml:space="preserve"> tufted </w:t>
      </w:r>
      <w:r w:rsidRPr="00C60942">
        <w:rPr>
          <w:rFonts w:ascii="Lora" w:hAnsi="Lora" w:cs="AGaramondPro-Regular"/>
          <w:sz w:val="20"/>
          <w:szCs w:val="20"/>
        </w:rPr>
        <w:t>foliage at </w:t>
      </w:r>
      <w:r>
        <w:rPr>
          <w:rFonts w:ascii="Lora" w:hAnsi="Lora" w:cs="AGaramondPro-Regular"/>
          <w:sz w:val="20"/>
          <w:szCs w:val="20"/>
        </w:rPr>
        <w:t>the tips</w:t>
      </w:r>
      <w:r w:rsidRPr="00C60942">
        <w:rPr>
          <w:rFonts w:ascii="Lora" w:hAnsi="Lora" w:cs="AGaramondPro-Regular"/>
          <w:sz w:val="20"/>
          <w:szCs w:val="20"/>
        </w:rPr>
        <w:t> of </w:t>
      </w:r>
      <w:r>
        <w:rPr>
          <w:rFonts w:ascii="Lora" w:hAnsi="Lora" w:cs="AGaramondPro-Regular"/>
          <w:sz w:val="20"/>
          <w:szCs w:val="20"/>
        </w:rPr>
        <w:t xml:space="preserve">the </w:t>
      </w:r>
      <w:r w:rsidRPr="00C60942">
        <w:rPr>
          <w:rFonts w:ascii="Lora" w:hAnsi="Lora" w:cs="AGaramondPro-Regular"/>
          <w:sz w:val="20"/>
          <w:szCs w:val="20"/>
        </w:rPr>
        <w:t>branches.</w:t>
      </w:r>
    </w:p>
    <w:p w14:paraId="3CF17575" w14:textId="77777777" w:rsidR="004B0C53" w:rsidRDefault="004B0C53" w:rsidP="00724758">
      <w:pPr>
        <w:spacing w:after="120"/>
        <w:rPr>
          <w:rFonts w:ascii="Lora" w:hAnsi="Lora" w:cs="AGaramondPro-Regular"/>
        </w:rPr>
      </w:pPr>
    </w:p>
    <w:p w14:paraId="1E88F13F" w14:textId="2DFC4F6A" w:rsidR="0047553D" w:rsidRDefault="002F7961" w:rsidP="00724758">
      <w:pPr>
        <w:spacing w:after="120"/>
        <w:rPr>
          <w:rFonts w:ascii="Lora" w:hAnsi="Lora" w:cs="AGaramondPro-Regular"/>
        </w:rPr>
      </w:pPr>
      <w:r>
        <w:rPr>
          <w:rFonts w:ascii="Lora" w:hAnsi="Lora" w:cs="AGaramondPro-Regular"/>
        </w:rPr>
        <w:t xml:space="preserve">Again, this differs slightly from Verticillium Wilt where individual larger branches may die back </w:t>
      </w:r>
      <w:r w:rsidR="009744F5">
        <w:rPr>
          <w:rFonts w:ascii="Lora" w:hAnsi="Lora" w:cs="AGaramondPro-Regular"/>
        </w:rPr>
        <w:t>(Fig. 3) w</w:t>
      </w:r>
      <w:r>
        <w:rPr>
          <w:rFonts w:ascii="Lora" w:hAnsi="Lora" w:cs="AGaramondPro-Regular"/>
        </w:rPr>
        <w:t xml:space="preserve">hile the rest of the crown appears normal. </w:t>
      </w:r>
      <w:r w:rsidR="00CB5344">
        <w:rPr>
          <w:rFonts w:ascii="Lora" w:hAnsi="Lora" w:cs="AGaramondPro-Regular"/>
        </w:rPr>
        <w:t xml:space="preserve">After several years losing one or more large branches to Verticillium however, infected trees may be weak enough to </w:t>
      </w:r>
      <w:proofErr w:type="gramStart"/>
      <w:r w:rsidR="004B0C53">
        <w:rPr>
          <w:rFonts w:ascii="Lora" w:hAnsi="Lora" w:cs="AGaramondPro-Regular"/>
        </w:rPr>
        <w:t>enter into</w:t>
      </w:r>
      <w:proofErr w:type="gramEnd"/>
      <w:r w:rsidR="00CB5344">
        <w:rPr>
          <w:rFonts w:ascii="Lora" w:hAnsi="Lora" w:cs="AGaramondPro-Regular"/>
        </w:rPr>
        <w:t xml:space="preserve"> decline</w:t>
      </w:r>
      <w:r w:rsidR="009744F5">
        <w:rPr>
          <w:rFonts w:ascii="Lora" w:hAnsi="Lora" w:cs="AGaramondPro-Regular"/>
        </w:rPr>
        <w:t xml:space="preserve"> (fig. 4)</w:t>
      </w:r>
      <w:r w:rsidR="00CB5344">
        <w:rPr>
          <w:rFonts w:ascii="Lora" w:hAnsi="Lora" w:cs="AGaramondPro-Regular"/>
        </w:rPr>
        <w:t xml:space="preserve">.  </w:t>
      </w:r>
    </w:p>
    <w:p w14:paraId="2B317735" w14:textId="0844E069" w:rsidR="00D146BE" w:rsidRDefault="0047553D" w:rsidP="00724758">
      <w:pPr>
        <w:spacing w:after="120"/>
        <w:rPr>
          <w:rFonts w:ascii="Lora" w:hAnsi="Lora" w:cs="AGaramondPro-Regular"/>
        </w:rPr>
      </w:pPr>
      <w:r w:rsidRPr="0047553D">
        <w:rPr>
          <w:rFonts w:ascii="Lora" w:hAnsi="Lora" w:cs="AGaramondPro-Regular"/>
          <w:b/>
          <w:bCs/>
        </w:rPr>
        <w:t>Poor root condition.</w:t>
      </w:r>
      <w:r w:rsidRPr="0047553D">
        <w:rPr>
          <w:rFonts w:ascii="Lora" w:hAnsi="Lora" w:cs="AGaramondPro-Regular"/>
        </w:rPr>
        <w:t xml:space="preserve"> If roots can be examined, look for reduced occurrence of small feeder rootlets and/or brittle roots. Also</w:t>
      </w:r>
      <w:r>
        <w:rPr>
          <w:rFonts w:ascii="Lora" w:hAnsi="Lora" w:cs="AGaramondPro-Regular"/>
        </w:rPr>
        <w:t>,</w:t>
      </w:r>
      <w:r w:rsidRPr="0047553D">
        <w:rPr>
          <w:rFonts w:ascii="Lora" w:hAnsi="Lora" w:cs="AGaramondPro-Regular"/>
        </w:rPr>
        <w:t xml:space="preserve"> examine the lower stem and buttress roots for any evidence of wounding or decay. Wounds to buttress roots may open weak trees </w:t>
      </w:r>
      <w:r w:rsidR="00CB5344">
        <w:rPr>
          <w:rFonts w:ascii="Lora" w:hAnsi="Lora" w:cs="AGaramondPro-Regular"/>
        </w:rPr>
        <w:t xml:space="preserve">up </w:t>
      </w:r>
      <w:r w:rsidRPr="0047553D">
        <w:rPr>
          <w:rFonts w:ascii="Lora" w:hAnsi="Lora" w:cs="AGaramondPro-Regular"/>
        </w:rPr>
        <w:t>to colonization by wood decay organisms.</w:t>
      </w:r>
    </w:p>
    <w:p w14:paraId="75DCBB5F" w14:textId="7A4E6CE9" w:rsidR="00831349" w:rsidRDefault="00831349" w:rsidP="00724758">
      <w:pPr>
        <w:spacing w:after="120"/>
        <w:rPr>
          <w:rFonts w:ascii="Lora" w:hAnsi="Lora" w:cs="AGaramondPro-Regular"/>
        </w:rPr>
      </w:pPr>
      <w:r>
        <w:rPr>
          <w:rFonts w:ascii="Lora" w:hAnsi="Lora" w:cs="AGaramondPro-Regular"/>
          <w:noProof/>
        </w:rPr>
        <w:drawing>
          <wp:inline distT="0" distB="0" distL="0" distR="0" wp14:anchorId="7330B782" wp14:editId="22D12698">
            <wp:extent cx="2751268" cy="4848225"/>
            <wp:effectExtent l="0" t="0" r="0" b="0"/>
            <wp:docPr id="77976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172" cy="4900921"/>
                    </a:xfrm>
                    <a:prstGeom prst="rect">
                      <a:avLst/>
                    </a:prstGeom>
                    <a:noFill/>
                  </pic:spPr>
                </pic:pic>
              </a:graphicData>
            </a:graphic>
          </wp:inline>
        </w:drawing>
      </w:r>
    </w:p>
    <w:p w14:paraId="04F11F8A" w14:textId="5FE821A9" w:rsidR="00831349" w:rsidRPr="00831349" w:rsidRDefault="00831349" w:rsidP="00724758">
      <w:pPr>
        <w:spacing w:after="120"/>
        <w:rPr>
          <w:rFonts w:ascii="Lora" w:hAnsi="Lora" w:cs="AGaramondPro-Regular"/>
          <w:sz w:val="20"/>
          <w:szCs w:val="20"/>
        </w:rPr>
      </w:pPr>
      <w:r w:rsidRPr="00C60942">
        <w:rPr>
          <w:rFonts w:ascii="Lora" w:hAnsi="Lora" w:cs="AGaramondPro-Regular"/>
          <w:sz w:val="20"/>
          <w:szCs w:val="20"/>
        </w:rPr>
        <w:t>Figure </w:t>
      </w:r>
      <w:r>
        <w:rPr>
          <w:rFonts w:ascii="Lora" w:hAnsi="Lora" w:cs="AGaramondPro-Regular"/>
          <w:sz w:val="20"/>
          <w:szCs w:val="20"/>
        </w:rPr>
        <w:t>3</w:t>
      </w:r>
      <w:r w:rsidRPr="00C60942">
        <w:rPr>
          <w:rFonts w:ascii="Lora" w:hAnsi="Lora" w:cs="AGaramondPro-Regular"/>
          <w:sz w:val="20"/>
          <w:szCs w:val="20"/>
        </w:rPr>
        <w:t>: </w:t>
      </w:r>
      <w:r>
        <w:rPr>
          <w:rFonts w:ascii="Lora" w:hAnsi="Lora" w:cs="AGaramondPro-Regular"/>
          <w:sz w:val="20"/>
          <w:szCs w:val="20"/>
        </w:rPr>
        <w:t>More typical symptom of Verticillium Wilt where individual branches flag and begin to die in early to mid-summer.</w:t>
      </w:r>
    </w:p>
    <w:p w14:paraId="5FCAD5E5" w14:textId="448D6B69" w:rsidR="0047553D" w:rsidRPr="009D7FC0" w:rsidRDefault="00712DAC" w:rsidP="009D7FC0">
      <w:pPr>
        <w:spacing w:after="120"/>
        <w:rPr>
          <w:rFonts w:ascii="Work Sans" w:hAnsi="Work Sans"/>
          <w:b/>
          <w:color w:val="000000"/>
          <w:sz w:val="28"/>
          <w:szCs w:val="28"/>
        </w:rPr>
      </w:pPr>
      <w:r w:rsidRPr="00117CDE">
        <w:rPr>
          <w:rFonts w:ascii="Work Sans" w:hAnsi="Work Sans"/>
          <w:b/>
          <w:color w:val="000000"/>
          <w:sz w:val="28"/>
          <w:szCs w:val="28"/>
        </w:rPr>
        <w:t>Management Strategies</w:t>
      </w:r>
    </w:p>
    <w:p w14:paraId="103FDF25" w14:textId="7AFE4AA5" w:rsidR="0047553D" w:rsidRDefault="009D7FC0" w:rsidP="0047553D">
      <w:pPr>
        <w:rPr>
          <w:rFonts w:ascii="Lora" w:hAnsi="Lora" w:cs="Times New Roman"/>
        </w:rPr>
      </w:pPr>
      <w:r w:rsidRPr="009D7FC0">
        <w:rPr>
          <w:rFonts w:ascii="Lora" w:hAnsi="Lora" w:cs="Times New Roman"/>
        </w:rPr>
        <w:t xml:space="preserve">By the time symptoms are noticed, the tree may be beyond being restored to its original </w:t>
      </w:r>
      <w:r w:rsidRPr="009D7FC0">
        <w:rPr>
          <w:rFonts w:ascii="Lora" w:hAnsi="Lora" w:cs="Times New Roman"/>
        </w:rPr>
        <w:lastRenderedPageBreak/>
        <w:t>splendor. Although once a tree is in decline, it may not be cured, providing good cultural care may help prolong the life of a declining maple. Keep in mind that these practices are to prolong the life of trees not already in a severe state of decline and may allow an opportunity for another tree to be planted which will eventually replace the declining maple. In this way</w:t>
      </w:r>
      <w:r>
        <w:rPr>
          <w:rFonts w:ascii="Lora" w:hAnsi="Lora" w:cs="Times New Roman"/>
        </w:rPr>
        <w:t>,</w:t>
      </w:r>
      <w:r w:rsidRPr="009D7FC0">
        <w:rPr>
          <w:rFonts w:ascii="Lora" w:hAnsi="Lora" w:cs="Times New Roman"/>
        </w:rPr>
        <w:t xml:space="preserve"> the newly planted tree will have a few years to grow prior to the removal of the declining maple. Plant young maple trees away from roads to avoid future de-icing salt problems.</w:t>
      </w:r>
      <w:r w:rsidR="00CB5344">
        <w:rPr>
          <w:rFonts w:ascii="Lora" w:hAnsi="Lora" w:cs="Times New Roman"/>
        </w:rPr>
        <w:t xml:space="preserve"> (If Verticillium is also confirmed, do not replant another maple in the same location or </w:t>
      </w:r>
      <w:proofErr w:type="gramStart"/>
      <w:r w:rsidR="00CB5344">
        <w:rPr>
          <w:rFonts w:ascii="Lora" w:hAnsi="Lora" w:cs="Times New Roman"/>
        </w:rPr>
        <w:t>in close proximity to</w:t>
      </w:r>
      <w:proofErr w:type="gramEnd"/>
      <w:r w:rsidR="00CB5344">
        <w:rPr>
          <w:rFonts w:ascii="Lora" w:hAnsi="Lora" w:cs="Times New Roman"/>
        </w:rPr>
        <w:t xml:space="preserve"> an infected tree.)</w:t>
      </w:r>
    </w:p>
    <w:p w14:paraId="4F5D3639" w14:textId="7B3C3073" w:rsidR="009D7FC0" w:rsidRDefault="00ED753D" w:rsidP="0047553D">
      <w:pPr>
        <w:rPr>
          <w:rFonts w:ascii="Lora" w:hAnsi="Lora" w:cs="Times New Roman"/>
        </w:rPr>
      </w:pPr>
      <w:r w:rsidRPr="00ED753D">
        <w:rPr>
          <w:rFonts w:ascii="Lora" w:hAnsi="Lora" w:cs="Times New Roman"/>
        </w:rPr>
        <w:t xml:space="preserve">First be certain to </w:t>
      </w:r>
      <w:r w:rsidRPr="00ED753D">
        <w:rPr>
          <w:rFonts w:ascii="Lora" w:hAnsi="Lora" w:cs="Times New Roman"/>
          <w:u w:val="single"/>
        </w:rPr>
        <w:t>provide adequate water</w:t>
      </w:r>
      <w:r w:rsidRPr="00ED753D">
        <w:rPr>
          <w:rFonts w:ascii="Lora" w:hAnsi="Lora" w:cs="Times New Roman"/>
        </w:rPr>
        <w:t xml:space="preserve"> during dry periods, </w:t>
      </w:r>
      <w:r>
        <w:rPr>
          <w:rFonts w:ascii="Lora" w:hAnsi="Lora" w:cs="Times New Roman"/>
        </w:rPr>
        <w:t>t</w:t>
      </w:r>
      <w:r w:rsidRPr="00ED753D">
        <w:rPr>
          <w:rFonts w:ascii="Lora" w:hAnsi="Lora" w:cs="Times New Roman"/>
        </w:rPr>
        <w:t xml:space="preserve">his means you may need to thoroughly water trees every one or two weeks during extended periods of dry weather. Trees can be watered with a slow stream from a hose or using drip irrigation. You may want to avoid using a sprinkler if it will wet the bark or exposed buttress roots as that may encourage decay. Move the hose periodically to soak the soil </w:t>
      </w:r>
      <w:r w:rsidR="00CB5344">
        <w:rPr>
          <w:rFonts w:ascii="Lora" w:hAnsi="Lora" w:cs="Times New Roman"/>
        </w:rPr>
        <w:t xml:space="preserve">in the </w:t>
      </w:r>
      <w:r w:rsidRPr="00ED753D">
        <w:rPr>
          <w:rFonts w:ascii="Lora" w:hAnsi="Lora" w:cs="Times New Roman"/>
        </w:rPr>
        <w:t xml:space="preserve">area under the tree's branches to a depth of about six inches. </w:t>
      </w:r>
    </w:p>
    <w:p w14:paraId="284AEB2F" w14:textId="7E3E431B" w:rsidR="00ED753D" w:rsidRDefault="00ED753D" w:rsidP="0047553D">
      <w:pPr>
        <w:rPr>
          <w:rFonts w:ascii="Lora" w:hAnsi="Lora" w:cs="Times New Roman"/>
        </w:rPr>
      </w:pPr>
      <w:r w:rsidRPr="00ED753D">
        <w:rPr>
          <w:rFonts w:ascii="Lora" w:hAnsi="Lora" w:cs="Times New Roman"/>
          <w:u w:val="single"/>
        </w:rPr>
        <w:t>Provide adequate nutrition</w:t>
      </w:r>
      <w:r w:rsidRPr="00ED753D">
        <w:rPr>
          <w:rFonts w:ascii="Lora" w:hAnsi="Lora" w:cs="Times New Roman"/>
        </w:rPr>
        <w:t xml:space="preserve">. There are a couple of options. You can have a soil test done to determine the optimum rate and type of fertilizer to use, or you can fertilize trees with a complete fertilizer in the spring and/or late fall. The general recommendation is 2 to 4 </w:t>
      </w:r>
      <w:r w:rsidR="00CB5344" w:rsidRPr="00ED753D">
        <w:rPr>
          <w:rFonts w:ascii="Lora" w:hAnsi="Lora" w:cs="Times New Roman"/>
        </w:rPr>
        <w:t>lbs.</w:t>
      </w:r>
      <w:r w:rsidRPr="00ED753D">
        <w:rPr>
          <w:rFonts w:ascii="Lora" w:hAnsi="Lora" w:cs="Times New Roman"/>
        </w:rPr>
        <w:t xml:space="preserve"> </w:t>
      </w:r>
      <w:r>
        <w:rPr>
          <w:rFonts w:ascii="Lora" w:hAnsi="Lora" w:cs="Times New Roman"/>
        </w:rPr>
        <w:t>of </w:t>
      </w:r>
      <w:r w:rsidRPr="00ED753D">
        <w:rPr>
          <w:rFonts w:ascii="Lora" w:hAnsi="Lora" w:cs="Times New Roman"/>
        </w:rPr>
        <w:t>fertilizer per inch of tree diameter (0.35 to 0.7 kg per cm of tree diameter at 1.5 m above ground). Broadcast the fertilizer over the root zone but note that fertilizer burn of nearby turf may occur at higher rates.</w:t>
      </w:r>
    </w:p>
    <w:p w14:paraId="121F8C82" w14:textId="236BCAAF" w:rsidR="00ED753D" w:rsidRDefault="00320FFA" w:rsidP="0047553D">
      <w:pPr>
        <w:rPr>
          <w:rFonts w:ascii="Lora" w:hAnsi="Lora" w:cs="Times New Roman"/>
        </w:rPr>
      </w:pPr>
      <w:r w:rsidRPr="00320FFA">
        <w:rPr>
          <w:rFonts w:ascii="Lora" w:hAnsi="Lora" w:cs="Times New Roman"/>
          <w:u w:val="single"/>
        </w:rPr>
        <w:t>Remove dead wood.</w:t>
      </w:r>
      <w:r w:rsidRPr="00320FFA">
        <w:rPr>
          <w:rFonts w:ascii="Lora" w:hAnsi="Lora" w:cs="Times New Roman"/>
        </w:rPr>
        <w:t xml:space="preserve"> Proper pruning to remove larger dead branches in the crown may promote increased vigor in the remaining growth. This may also lower the hazard potential should a large dead branch fail. Pruning is best done in the early spring, </w:t>
      </w:r>
      <w:r w:rsidR="001A1A8C">
        <w:rPr>
          <w:rFonts w:ascii="Lora" w:hAnsi="Lora" w:cs="Times New Roman"/>
        </w:rPr>
        <w:t>bef</w:t>
      </w:r>
      <w:r w:rsidRPr="00320FFA">
        <w:rPr>
          <w:rFonts w:ascii="Lora" w:hAnsi="Lora" w:cs="Times New Roman"/>
        </w:rPr>
        <w:t>or</w:t>
      </w:r>
      <w:r w:rsidR="001A1A8C">
        <w:rPr>
          <w:rFonts w:ascii="Lora" w:hAnsi="Lora" w:cs="Times New Roman"/>
        </w:rPr>
        <w:t>e</w:t>
      </w:r>
      <w:r w:rsidRPr="00320FFA">
        <w:rPr>
          <w:rFonts w:ascii="Lora" w:hAnsi="Lora" w:cs="Times New Roman"/>
        </w:rPr>
        <w:t xml:space="preserve"> bud break, to promote healing of the pruning cuts. For large specimens, major pruning may require hiring a licensed </w:t>
      </w:r>
      <w:r w:rsidRPr="00320FFA">
        <w:rPr>
          <w:rFonts w:ascii="Lora" w:hAnsi="Lora" w:cs="Times New Roman"/>
        </w:rPr>
        <w:t>professional with the proper equipment to do the job.</w:t>
      </w:r>
    </w:p>
    <w:p w14:paraId="2C660772" w14:textId="781DE5CD" w:rsidR="00320FFA" w:rsidRDefault="00320FFA" w:rsidP="0047553D">
      <w:pPr>
        <w:rPr>
          <w:rFonts w:ascii="Lora" w:hAnsi="Lora" w:cs="Times New Roman"/>
        </w:rPr>
      </w:pPr>
      <w:r w:rsidRPr="00320FFA">
        <w:rPr>
          <w:rFonts w:ascii="Lora" w:hAnsi="Lora" w:cs="Times New Roman"/>
          <w:u w:val="single"/>
        </w:rPr>
        <w:t>Protect the tree from de-icing salt</w:t>
      </w:r>
      <w:r w:rsidRPr="00320FFA">
        <w:rPr>
          <w:rFonts w:ascii="Lora" w:hAnsi="Lora" w:cs="Times New Roman"/>
        </w:rPr>
        <w:t xml:space="preserve">. The impact of exposure to salt used on roads can be reduced </w:t>
      </w:r>
      <w:proofErr w:type="gramStart"/>
      <w:r w:rsidRPr="00320FFA">
        <w:rPr>
          <w:rFonts w:ascii="Lora" w:hAnsi="Lora" w:cs="Times New Roman"/>
        </w:rPr>
        <w:t xml:space="preserve">by </w:t>
      </w:r>
      <w:r w:rsidR="004474E1">
        <w:rPr>
          <w:rFonts w:ascii="Lora" w:hAnsi="Lora" w:cs="Times New Roman"/>
        </w:rPr>
        <w:t>the </w:t>
      </w:r>
      <w:r w:rsidRPr="00320FFA">
        <w:rPr>
          <w:rFonts w:ascii="Lora" w:hAnsi="Lora" w:cs="Times New Roman"/>
        </w:rPr>
        <w:t>use of</w:t>
      </w:r>
      <w:proofErr w:type="gramEnd"/>
      <w:r w:rsidRPr="00320FFA">
        <w:rPr>
          <w:rFonts w:ascii="Lora" w:hAnsi="Lora" w:cs="Times New Roman"/>
        </w:rPr>
        <w:t xml:space="preserve"> a barrier (curb, berm, ditch, etc.) which will catch and/or divert the spring runoff water </w:t>
      </w:r>
      <w:r w:rsidR="00CB5344">
        <w:rPr>
          <w:rFonts w:ascii="Lora" w:hAnsi="Lora" w:cs="Times New Roman"/>
        </w:rPr>
        <w:t>that may</w:t>
      </w:r>
      <w:r w:rsidRPr="00320FFA">
        <w:rPr>
          <w:rFonts w:ascii="Lora" w:hAnsi="Lora" w:cs="Times New Roman"/>
        </w:rPr>
        <w:t xml:space="preserve"> contain copious amounts of salt. If soil and foliar analyses have been run and high sodium or chloride concentrations were found, then leaching the soil with fresh water in the spring</w:t>
      </w:r>
      <w:r w:rsidR="00CB5344">
        <w:rPr>
          <w:rFonts w:ascii="Lora" w:hAnsi="Lora" w:cs="Times New Roman"/>
        </w:rPr>
        <w:t>. A</w:t>
      </w:r>
      <w:r w:rsidRPr="00320FFA">
        <w:rPr>
          <w:rFonts w:ascii="Lora" w:hAnsi="Lora" w:cs="Times New Roman"/>
        </w:rPr>
        <w:t xml:space="preserve">pplying gypsum </w:t>
      </w:r>
      <w:r w:rsidR="00787B61">
        <w:rPr>
          <w:rFonts w:ascii="Lora" w:hAnsi="Lora" w:cs="Times New Roman"/>
        </w:rPr>
        <w:t>can help to</w:t>
      </w:r>
      <w:r w:rsidRPr="00320FFA">
        <w:rPr>
          <w:rFonts w:ascii="Lora" w:hAnsi="Lora" w:cs="Times New Roman"/>
        </w:rPr>
        <w:t xml:space="preserve"> improve the soil structure</w:t>
      </w:r>
      <w:r w:rsidR="00787B61">
        <w:rPr>
          <w:rFonts w:ascii="Lora" w:hAnsi="Lora" w:cs="Times New Roman"/>
        </w:rPr>
        <w:t>. Gypsum provides calcium that</w:t>
      </w:r>
      <w:r w:rsidRPr="00320FFA">
        <w:rPr>
          <w:rFonts w:ascii="Lora" w:hAnsi="Lora" w:cs="Times New Roman"/>
        </w:rPr>
        <w:t xml:space="preserve"> </w:t>
      </w:r>
      <w:r w:rsidR="00787B61">
        <w:rPr>
          <w:rFonts w:ascii="Lora" w:hAnsi="Lora" w:cs="Times New Roman"/>
        </w:rPr>
        <w:t>binds to soil particles, replacing sodium; this allows the sodium to be more readily leached from the soil.</w:t>
      </w:r>
    </w:p>
    <w:p w14:paraId="2F9DBAB9" w14:textId="5D5D7AAD" w:rsidR="00831349" w:rsidRDefault="00831349" w:rsidP="00831349">
      <w:pPr>
        <w:rPr>
          <w:rFonts w:ascii="Lora" w:hAnsi="Lora" w:cs="Times New Roman"/>
        </w:rPr>
      </w:pPr>
      <w:r>
        <w:rPr>
          <w:noProof/>
        </w:rPr>
        <w:drawing>
          <wp:inline distT="0" distB="0" distL="0" distR="0" wp14:anchorId="6638359B" wp14:editId="3CF1C9A2">
            <wp:extent cx="2743200" cy="3703187"/>
            <wp:effectExtent l="0" t="0" r="0" b="0"/>
            <wp:docPr id="1681371213" name="Picture 2" descr="A tree with orange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71213" name="Picture 2" descr="A tree with orange and green leav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0717" cy="3740334"/>
                    </a:xfrm>
                    <a:prstGeom prst="rect">
                      <a:avLst/>
                    </a:prstGeom>
                    <a:noFill/>
                    <a:ln>
                      <a:noFill/>
                    </a:ln>
                  </pic:spPr>
                </pic:pic>
              </a:graphicData>
            </a:graphic>
          </wp:inline>
        </w:drawing>
      </w:r>
    </w:p>
    <w:p w14:paraId="1EE457A6" w14:textId="44599D3B" w:rsidR="00831349" w:rsidRPr="00831349" w:rsidRDefault="00831349" w:rsidP="00831349">
      <w:pPr>
        <w:spacing w:after="120"/>
        <w:rPr>
          <w:rFonts w:ascii="Lora" w:hAnsi="Lora" w:cs="AGaramondPro-Regular"/>
          <w:sz w:val="20"/>
          <w:szCs w:val="20"/>
        </w:rPr>
      </w:pPr>
      <w:r w:rsidRPr="00C60942">
        <w:rPr>
          <w:rFonts w:ascii="Lora" w:hAnsi="Lora" w:cs="AGaramondPro-Regular"/>
          <w:sz w:val="20"/>
          <w:szCs w:val="20"/>
        </w:rPr>
        <w:t>Figure </w:t>
      </w:r>
      <w:r>
        <w:rPr>
          <w:rFonts w:ascii="Lora" w:hAnsi="Lora" w:cs="AGaramondPro-Regular"/>
          <w:sz w:val="20"/>
          <w:szCs w:val="20"/>
        </w:rPr>
        <w:t>4</w:t>
      </w:r>
      <w:r w:rsidRPr="00C60942">
        <w:rPr>
          <w:rFonts w:ascii="Lora" w:hAnsi="Lora" w:cs="AGaramondPro-Regular"/>
          <w:sz w:val="20"/>
          <w:szCs w:val="20"/>
        </w:rPr>
        <w:t>: </w:t>
      </w:r>
      <w:r>
        <w:rPr>
          <w:rFonts w:ascii="Lora" w:hAnsi="Lora" w:cs="AGaramondPro-Regular"/>
          <w:sz w:val="20"/>
          <w:szCs w:val="20"/>
        </w:rPr>
        <w:t xml:space="preserve">After several years of dieback, it may be difficult to distinguish Maple Decline from Verticillium Wilt. </w:t>
      </w:r>
    </w:p>
    <w:p w14:paraId="1FA68821" w14:textId="39033513" w:rsidR="00320FFA" w:rsidRDefault="00320FFA" w:rsidP="0047553D">
      <w:pPr>
        <w:rPr>
          <w:rFonts w:ascii="Lora" w:hAnsi="Lora" w:cs="Times New Roman"/>
        </w:rPr>
      </w:pPr>
      <w:r w:rsidRPr="00320FFA">
        <w:rPr>
          <w:rFonts w:ascii="Lora" w:hAnsi="Lora" w:cs="Times New Roman"/>
        </w:rPr>
        <w:t xml:space="preserve">As defoliation can be a triggering factor in decline, </w:t>
      </w:r>
      <w:r w:rsidRPr="00320FFA">
        <w:rPr>
          <w:rFonts w:ascii="Lora" w:hAnsi="Lora" w:cs="Times New Roman"/>
          <w:u w:val="single"/>
        </w:rPr>
        <w:t>pay close attention to developing insect issues</w:t>
      </w:r>
      <w:r w:rsidRPr="00320FFA">
        <w:rPr>
          <w:rFonts w:ascii="Lora" w:hAnsi="Lora" w:cs="Times New Roman"/>
        </w:rPr>
        <w:t xml:space="preserve"> on your trees. Although forest tent caterpillar populations may not be high every year, severe defoliation by these or other pests may trigger decline or result in the death of an already weakened tree. In years when pest issues may be high, an insecticide treatment may help </w:t>
      </w:r>
      <w:r w:rsidRPr="00320FFA">
        <w:rPr>
          <w:rFonts w:ascii="Lora" w:hAnsi="Lora" w:cs="Times New Roman"/>
        </w:rPr>
        <w:lastRenderedPageBreak/>
        <w:t>to protect your tree(s).</w:t>
      </w:r>
      <w:r w:rsidR="00787B61">
        <w:rPr>
          <w:rFonts w:ascii="Lora" w:hAnsi="Lora" w:cs="Times New Roman"/>
        </w:rPr>
        <w:t xml:space="preserve"> Be sure to properly identify insect pests to determine the best treatment options. </w:t>
      </w:r>
    </w:p>
    <w:p w14:paraId="308343EB" w14:textId="3219327E" w:rsidR="00831349" w:rsidRDefault="00C61F77" w:rsidP="00873866">
      <w:pPr>
        <w:rPr>
          <w:rFonts w:ascii="Lora" w:hAnsi="Lora" w:cs="Times New Roman"/>
        </w:rPr>
        <w:sectPr w:rsidR="00831349" w:rsidSect="00437088">
          <w:type w:val="continuous"/>
          <w:pgSz w:w="12240" w:h="15840"/>
          <w:pgMar w:top="720" w:right="720" w:bottom="720" w:left="720" w:header="720" w:footer="720" w:gutter="0"/>
          <w:cols w:num="2" w:space="720"/>
          <w:docGrid w:linePitch="360"/>
        </w:sectPr>
      </w:pPr>
      <w:r w:rsidRPr="00C61F77">
        <w:rPr>
          <w:rFonts w:ascii="Lora" w:hAnsi="Lora" w:cs="Times New Roman"/>
        </w:rPr>
        <w:t>The success of treat</w:t>
      </w:r>
      <w:r w:rsidR="00787B61">
        <w:rPr>
          <w:rFonts w:ascii="Lora" w:hAnsi="Lora" w:cs="Times New Roman"/>
        </w:rPr>
        <w:t xml:space="preserve">ing </w:t>
      </w:r>
      <w:r w:rsidRPr="00C61F77">
        <w:rPr>
          <w:rFonts w:ascii="Lora" w:hAnsi="Lora" w:cs="Times New Roman"/>
        </w:rPr>
        <w:t xml:space="preserve">declining maples depends primarily on early detection of maple decline, the health of the tree prior to treatment, and/or its ability to respond to treatment. </w:t>
      </w:r>
      <w:r w:rsidRPr="00C61F77">
        <w:rPr>
          <w:rFonts w:ascii="Lora" w:hAnsi="Lora" w:cs="Times New Roman"/>
        </w:rPr>
        <w:t>Positive diagnosis will often depend on "on the spot" examination or the amount of information obtainable from the person submitting a sample. However, the prescribed treatments of fertilizing, watering</w:t>
      </w:r>
      <w:r w:rsidR="004474E1">
        <w:rPr>
          <w:rFonts w:ascii="Lora" w:hAnsi="Lora" w:cs="Times New Roman"/>
        </w:rPr>
        <w:t>,</w:t>
      </w:r>
      <w:r w:rsidRPr="00C61F77">
        <w:rPr>
          <w:rFonts w:ascii="Lora" w:hAnsi="Lora" w:cs="Times New Roman"/>
        </w:rPr>
        <w:t xml:space="preserve"> and pruning will not damage healthy trees and may also be beneficial to trees suffering from other issues such as Verticillium Wilt.</w:t>
      </w:r>
    </w:p>
    <w:p w14:paraId="4221AB92" w14:textId="0E454693" w:rsidR="0013026F" w:rsidRDefault="0013026F" w:rsidP="00724758">
      <w:pPr>
        <w:pStyle w:val="NormalWeb"/>
        <w:spacing w:after="120" w:afterAutospacing="0"/>
        <w:rPr>
          <w:rFonts w:ascii="Work Sans" w:hAnsi="Work Sans"/>
          <w:b/>
          <w:color w:val="000000"/>
          <w:sz w:val="28"/>
          <w:szCs w:val="28"/>
        </w:rPr>
      </w:pPr>
      <w:r>
        <w:rPr>
          <w:rFonts w:ascii="Work Sans" w:hAnsi="Work Sans"/>
          <w:b/>
          <w:color w:val="000000"/>
          <w:sz w:val="28"/>
          <w:szCs w:val="28"/>
        </w:rPr>
        <w:t>Reference</w:t>
      </w:r>
      <w:r w:rsidR="00831349">
        <w:rPr>
          <w:rFonts w:ascii="Work Sans" w:hAnsi="Work Sans"/>
          <w:b/>
          <w:color w:val="000000"/>
          <w:sz w:val="28"/>
          <w:szCs w:val="28"/>
        </w:rPr>
        <w:t>s</w:t>
      </w:r>
      <w:r w:rsidR="006F60A1">
        <w:rPr>
          <w:rFonts w:ascii="Work Sans" w:hAnsi="Work Sans"/>
          <w:b/>
          <w:color w:val="000000"/>
          <w:sz w:val="28"/>
          <w:szCs w:val="28"/>
        </w:rPr>
        <w:t>:</w:t>
      </w:r>
    </w:p>
    <w:p w14:paraId="23AC95B8" w14:textId="77777777" w:rsidR="008F5DE7" w:rsidRDefault="004474E1" w:rsidP="007B40A9">
      <w:r w:rsidRPr="004474E1">
        <w:rPr>
          <w:rFonts w:ascii="Lora" w:hAnsi="Lora" w:cs="Times New Roman"/>
          <w:i/>
          <w:iCs/>
        </w:rPr>
        <w:t>Recognizing and Preventing Maple Decline</w:t>
      </w:r>
      <w:r w:rsidRPr="004474E1">
        <w:rPr>
          <w:rFonts w:ascii="Lora" w:hAnsi="Lora" w:cs="Times New Roman"/>
        </w:rPr>
        <w:t>, James W. Walters, North Central Experiment Station: Northern Hardwood Notes 7.02.</w:t>
      </w:r>
      <w:r w:rsidR="008F5DE7" w:rsidRPr="008F5DE7">
        <w:t xml:space="preserve"> </w:t>
      </w:r>
    </w:p>
    <w:p w14:paraId="3E1C612E" w14:textId="18482B29" w:rsidR="004474E1" w:rsidRDefault="008F5DE7" w:rsidP="007B40A9">
      <w:pPr>
        <w:rPr>
          <w:rFonts w:ascii="Lora" w:hAnsi="Lora" w:cs="Times New Roman"/>
        </w:rPr>
      </w:pPr>
      <w:r w:rsidRPr="008F5DE7">
        <w:rPr>
          <w:rFonts w:ascii="Lora" w:hAnsi="Lora" w:cs="Times New Roman"/>
        </w:rPr>
        <w:t>Sinclair, Wayne A. and Howard H. Lyon. 2005. Diseases of Trees and Shrubs, 2nd ed. 660 pages Comstock Pub. Associates.</w:t>
      </w:r>
    </w:p>
    <w:p w14:paraId="23FDB4B4" w14:textId="38D6DF14" w:rsidR="008F5DE7" w:rsidRPr="006F60A1" w:rsidRDefault="008F5DE7" w:rsidP="007B40A9">
      <w:pPr>
        <w:rPr>
          <w:rFonts w:ascii="Lora" w:hAnsi="Lora" w:cs="Times New Roman"/>
        </w:rPr>
      </w:pPr>
      <w:r w:rsidRPr="004474E1">
        <w:rPr>
          <w:rFonts w:ascii="Lora" w:hAnsi="Lora" w:cs="Times New Roman"/>
          <w:i/>
          <w:iCs/>
        </w:rPr>
        <w:t>Sugar Maple Decline: An Evaluation</w:t>
      </w:r>
      <w:r w:rsidRPr="004474E1">
        <w:rPr>
          <w:rFonts w:ascii="Lora" w:hAnsi="Lora" w:cs="Times New Roman"/>
        </w:rPr>
        <w:t xml:space="preserve">, by Arthur H. Westing, </w:t>
      </w:r>
      <w:r w:rsidRPr="004474E1">
        <w:rPr>
          <w:rFonts w:ascii="Lora" w:hAnsi="Lora" w:cs="Times New Roman"/>
          <w:u w:val="single"/>
        </w:rPr>
        <w:t>Economic Botany</w:t>
      </w:r>
      <w:r w:rsidRPr="004474E1">
        <w:rPr>
          <w:rFonts w:ascii="Lora" w:hAnsi="Lora" w:cs="Times New Roman"/>
        </w:rPr>
        <w:t>. vol. 20, no. 2, April</w:t>
      </w:r>
      <w:r>
        <w:rPr>
          <w:rFonts w:ascii="Lora" w:hAnsi="Lora" w:cs="Times New Roman"/>
        </w:rPr>
        <w:t>-</w:t>
      </w:r>
      <w:proofErr w:type="gramStart"/>
      <w:r w:rsidRPr="004474E1">
        <w:rPr>
          <w:rFonts w:ascii="Lora" w:hAnsi="Lora" w:cs="Times New Roman"/>
        </w:rPr>
        <w:t>Jun.,</w:t>
      </w:r>
      <w:proofErr w:type="gramEnd"/>
      <w:r w:rsidRPr="004474E1">
        <w:rPr>
          <w:rFonts w:ascii="Lora" w:hAnsi="Lora" w:cs="Times New Roman"/>
        </w:rPr>
        <w:t xml:space="preserve"> 1966, pp. 196-212.  </w:t>
      </w:r>
    </w:p>
    <w:p w14:paraId="09E78786" w14:textId="654FA15D" w:rsidR="00982A07" w:rsidRPr="00724758" w:rsidRDefault="00086928" w:rsidP="00724758">
      <w:pPr>
        <w:pStyle w:val="NormalWeb"/>
        <w:spacing w:after="120" w:afterAutospacing="0"/>
        <w:rPr>
          <w:rFonts w:ascii="Lora" w:hAnsi="Lora"/>
          <w:color w:val="000000"/>
          <w:sz w:val="22"/>
          <w:szCs w:val="22"/>
        </w:rPr>
      </w:pPr>
      <w:r w:rsidRPr="00FB0F94">
        <w:rPr>
          <w:rFonts w:ascii="Work Sans" w:hAnsi="Work Sans"/>
          <w:b/>
          <w:color w:val="000000"/>
          <w:sz w:val="28"/>
          <w:szCs w:val="28"/>
        </w:rPr>
        <w:t>Prepared by</w:t>
      </w:r>
      <w:r w:rsidRPr="00724758">
        <w:rPr>
          <w:rFonts w:ascii="Lora" w:hAnsi="Lora"/>
          <w:b/>
          <w:color w:val="000000"/>
          <w:sz w:val="22"/>
          <w:szCs w:val="22"/>
        </w:rPr>
        <w:t xml:space="preserve"> </w:t>
      </w:r>
      <w:r w:rsidR="00E83159" w:rsidRPr="00E83159">
        <w:rPr>
          <w:rFonts w:ascii="Lora" w:hAnsi="Lora"/>
          <w:bCs/>
          <w:color w:val="000000"/>
          <w:sz w:val="22"/>
          <w:szCs w:val="22"/>
        </w:rPr>
        <w:t xml:space="preserve">KLS </w:t>
      </w:r>
      <w:r w:rsidR="00787B61">
        <w:rPr>
          <w:rFonts w:ascii="Lora" w:hAnsi="Lora"/>
          <w:bCs/>
          <w:color w:val="000000"/>
          <w:sz w:val="22"/>
          <w:szCs w:val="22"/>
        </w:rPr>
        <w:t>August 1999;</w:t>
      </w:r>
      <w:r w:rsidR="0042353D">
        <w:rPr>
          <w:rFonts w:ascii="Lora" w:hAnsi="Lora"/>
          <w:b/>
          <w:color w:val="000000"/>
          <w:sz w:val="22"/>
          <w:szCs w:val="22"/>
        </w:rPr>
        <w:t xml:space="preserve"> </w:t>
      </w:r>
      <w:r w:rsidR="00724758" w:rsidRPr="00724758">
        <w:rPr>
          <w:rFonts w:ascii="Lora" w:hAnsi="Lora"/>
          <w:bCs/>
          <w:color w:val="000000"/>
          <w:sz w:val="22"/>
          <w:szCs w:val="22"/>
        </w:rPr>
        <w:t xml:space="preserve">Updated </w:t>
      </w:r>
      <w:r w:rsidR="00787B61">
        <w:rPr>
          <w:rFonts w:ascii="Lora" w:hAnsi="Lora"/>
          <w:bCs/>
          <w:color w:val="000000"/>
          <w:sz w:val="22"/>
          <w:szCs w:val="22"/>
        </w:rPr>
        <w:t xml:space="preserve">by </w:t>
      </w:r>
      <w:r w:rsidR="00724758" w:rsidRPr="00724758">
        <w:rPr>
          <w:rFonts w:ascii="Lora" w:hAnsi="Lora"/>
          <w:bCs/>
          <w:color w:val="000000"/>
          <w:sz w:val="22"/>
          <w:szCs w:val="22"/>
        </w:rPr>
        <w:t>SLJ</w:t>
      </w:r>
      <w:r w:rsidR="00E83159">
        <w:rPr>
          <w:rFonts w:ascii="Lora" w:hAnsi="Lora"/>
          <w:bCs/>
          <w:color w:val="000000"/>
          <w:sz w:val="22"/>
          <w:szCs w:val="22"/>
        </w:rPr>
        <w:t>2</w:t>
      </w:r>
      <w:r w:rsidR="00787B61">
        <w:rPr>
          <w:rFonts w:ascii="Lora" w:hAnsi="Lora"/>
          <w:bCs/>
          <w:color w:val="000000"/>
          <w:sz w:val="22"/>
          <w:szCs w:val="22"/>
        </w:rPr>
        <w:t xml:space="preserve"> &amp; LG658, December 2024</w:t>
      </w:r>
    </w:p>
    <w:p w14:paraId="1246CF90" w14:textId="77777777" w:rsidR="00982A07" w:rsidRPr="00117CDE" w:rsidRDefault="00982A07" w:rsidP="00982A07">
      <w:pPr>
        <w:pStyle w:val="NormalWeb"/>
        <w:rPr>
          <w:rFonts w:ascii="Lora" w:hAnsi="Lora"/>
          <w:color w:val="000000"/>
          <w:sz w:val="22"/>
          <w:szCs w:val="22"/>
        </w:rPr>
      </w:pPr>
      <w:r w:rsidRPr="008508C6">
        <w:rPr>
          <w:rFonts w:ascii="Lora" w:hAnsi="Lora"/>
          <w:b/>
          <w:bCs/>
          <w:color w:val="000000"/>
          <w:sz w:val="22"/>
          <w:szCs w:val="22"/>
        </w:rPr>
        <w:t>READ THE LABEL BEFORE APPLYING ANY PESTICIDE!</w:t>
      </w:r>
      <w:r w:rsidRPr="00117CDE">
        <w:rPr>
          <w:rFonts w:ascii="Lora" w:hAnsi="Lora"/>
          <w:color w:val="000000"/>
          <w:sz w:val="22"/>
          <w:szCs w:val="22"/>
        </w:rPr>
        <w:t xml:space="preserve"> Changes in pesticide regulations occur constantly. All pesticides distributed, sold, and/or applied in New York State must be registered with the New York State Department of Environmental Conservation (DEC). Questions concerning the legality and/or registration status for pesticide use in New York State should be directed to the appropriate Cornell Cooperative Extension Specialist or your regional DEC office.</w:t>
      </w:r>
    </w:p>
    <w:p w14:paraId="24E44FBE" w14:textId="77777777" w:rsidR="00117CDE" w:rsidRDefault="00117CDE" w:rsidP="00982A07">
      <w:pPr>
        <w:spacing w:after="0"/>
        <w:rPr>
          <w:rFonts w:ascii="Lora" w:hAnsi="Lora"/>
          <w:color w:val="000000"/>
        </w:rPr>
        <w:sectPr w:rsidR="00117CDE" w:rsidSect="00437088">
          <w:type w:val="continuous"/>
          <w:pgSz w:w="12240" w:h="15840"/>
          <w:pgMar w:top="720" w:right="720" w:bottom="720" w:left="720" w:header="720" w:footer="720" w:gutter="0"/>
          <w:cols w:space="720"/>
          <w:docGrid w:linePitch="360"/>
        </w:sectPr>
      </w:pPr>
    </w:p>
    <w:p w14:paraId="1EF90488" w14:textId="5AD41724" w:rsidR="00982A07" w:rsidRPr="008508C6" w:rsidRDefault="00982A07" w:rsidP="00982A07">
      <w:pPr>
        <w:spacing w:after="0"/>
        <w:rPr>
          <w:rFonts w:ascii="Lora" w:hAnsi="Lora"/>
          <w:b/>
          <w:bCs/>
          <w:color w:val="000000"/>
        </w:rPr>
      </w:pPr>
      <w:bookmarkStart w:id="0" w:name="_Hlk162532794"/>
      <w:r w:rsidRPr="008508C6">
        <w:rPr>
          <w:rFonts w:ascii="Lora" w:hAnsi="Lora"/>
          <w:b/>
          <w:bCs/>
          <w:color w:val="000000"/>
        </w:rPr>
        <w:t xml:space="preserve">The </w:t>
      </w:r>
      <w:r w:rsidR="00A62DA2">
        <w:rPr>
          <w:rFonts w:ascii="Lora" w:hAnsi="Lora"/>
          <w:b/>
          <w:bCs/>
          <w:color w:val="000000"/>
        </w:rPr>
        <w:t xml:space="preserve">Cornell </w:t>
      </w:r>
      <w:r w:rsidRPr="008508C6">
        <w:rPr>
          <w:rFonts w:ascii="Lora" w:hAnsi="Lora"/>
          <w:b/>
          <w:bCs/>
          <w:color w:val="000000"/>
        </w:rPr>
        <w:t xml:space="preserve">Plant Disease Diagnostic Clinic </w:t>
      </w:r>
    </w:p>
    <w:p w14:paraId="05F368A5" w14:textId="2619AEED" w:rsidR="00982A07" w:rsidRPr="00117CDE" w:rsidRDefault="00982A07" w:rsidP="00982A07">
      <w:pPr>
        <w:spacing w:after="0"/>
        <w:rPr>
          <w:rFonts w:ascii="Lora" w:hAnsi="Lora"/>
          <w:color w:val="000000"/>
        </w:rPr>
      </w:pPr>
      <w:r w:rsidRPr="00117CDE">
        <w:rPr>
          <w:rFonts w:ascii="Lora" w:hAnsi="Lora"/>
          <w:color w:val="000000"/>
        </w:rPr>
        <w:t>Phone: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7850</w:t>
      </w:r>
      <w:r w:rsidR="003D7E09">
        <w:rPr>
          <w:rFonts w:ascii="Lora" w:hAnsi="Lora"/>
          <w:color w:val="000000"/>
        </w:rPr>
        <w:t xml:space="preserve">; </w:t>
      </w:r>
      <w:r w:rsidRPr="00117CDE">
        <w:rPr>
          <w:rFonts w:ascii="Lora" w:hAnsi="Lora"/>
          <w:color w:val="000000"/>
        </w:rPr>
        <w:t>Fax: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4471</w:t>
      </w:r>
    </w:p>
    <w:p w14:paraId="795B1C81" w14:textId="7E340110" w:rsidR="00117CDE" w:rsidRDefault="00982A07" w:rsidP="00982A07">
      <w:pPr>
        <w:spacing w:after="0"/>
        <w:rPr>
          <w:rFonts w:ascii="Lora" w:hAnsi="Lora"/>
          <w:color w:val="000000"/>
        </w:rPr>
      </w:pPr>
      <w:r w:rsidRPr="00117CDE">
        <w:rPr>
          <w:rFonts w:ascii="Lora" w:hAnsi="Lora"/>
          <w:color w:val="000000"/>
        </w:rPr>
        <w:t xml:space="preserve">Email: </w:t>
      </w:r>
      <w:bookmarkStart w:id="1" w:name="_Hlk162533176"/>
      <w:r w:rsidR="00787B61">
        <w:rPr>
          <w:rFonts w:ascii="Lora" w:hAnsi="Lora"/>
          <w:color w:val="000000"/>
        </w:rPr>
        <w:fldChar w:fldCharType="begin"/>
      </w:r>
      <w:r w:rsidR="00787B61">
        <w:rPr>
          <w:rFonts w:ascii="Lora" w:hAnsi="Lora"/>
          <w:color w:val="000000"/>
        </w:rPr>
        <w:instrText>HYPERLINK "mailto:</w:instrText>
      </w:r>
      <w:r w:rsidR="00787B61" w:rsidRPr="00787B61">
        <w:rPr>
          <w:rFonts w:ascii="Lora" w:hAnsi="Lora"/>
          <w:color w:val="000000"/>
        </w:rPr>
        <w:instrText>Cornell-plantdiseaseclinic@cornell.edu</w:instrText>
      </w:r>
      <w:r w:rsidR="00787B61">
        <w:rPr>
          <w:rFonts w:ascii="Lora" w:hAnsi="Lora"/>
          <w:color w:val="000000"/>
        </w:rPr>
        <w:instrText>"</w:instrText>
      </w:r>
      <w:r w:rsidR="00787B61">
        <w:rPr>
          <w:rFonts w:ascii="Lora" w:hAnsi="Lora"/>
          <w:color w:val="000000"/>
        </w:rPr>
      </w:r>
      <w:r w:rsidR="00787B61">
        <w:rPr>
          <w:rFonts w:ascii="Lora" w:hAnsi="Lora"/>
          <w:color w:val="000000"/>
        </w:rPr>
        <w:fldChar w:fldCharType="separate"/>
      </w:r>
      <w:r w:rsidR="00787B61" w:rsidRPr="001B2B6C">
        <w:rPr>
          <w:rStyle w:val="Hyperlink"/>
          <w:rFonts w:ascii="Lora" w:hAnsi="Lora"/>
        </w:rPr>
        <w:t>Cornell-plantdiseaseclinic@cornell.edu</w:t>
      </w:r>
      <w:bookmarkEnd w:id="1"/>
      <w:r w:rsidR="00787B61">
        <w:rPr>
          <w:rFonts w:ascii="Lora" w:hAnsi="Lora"/>
          <w:color w:val="000000"/>
        </w:rPr>
        <w:fldChar w:fldCharType="end"/>
      </w:r>
    </w:p>
    <w:p w14:paraId="5BFCA701" w14:textId="08FB5FCB" w:rsidR="00A62DA2" w:rsidRPr="003D7E09" w:rsidRDefault="00982A07" w:rsidP="003D7E09">
      <w:pPr>
        <w:spacing w:after="0"/>
        <w:rPr>
          <w:rFonts w:ascii="Lora" w:hAnsi="Lora"/>
          <w:color w:val="000000"/>
        </w:rPr>
        <w:sectPr w:rsidR="00A62DA2" w:rsidRPr="003D7E09" w:rsidSect="00437088">
          <w:type w:val="continuous"/>
          <w:pgSz w:w="12240" w:h="15840"/>
          <w:pgMar w:top="720" w:right="720" w:bottom="720" w:left="720" w:header="720" w:footer="720" w:gutter="0"/>
          <w:cols w:space="720"/>
          <w:docGrid w:linePitch="360"/>
        </w:sectPr>
      </w:pPr>
      <w:r w:rsidRPr="00117CDE">
        <w:rPr>
          <w:rFonts w:ascii="Lora" w:hAnsi="Lora"/>
          <w:color w:val="000000"/>
        </w:rPr>
        <w:t xml:space="preserve">Web: </w:t>
      </w:r>
      <w:hyperlink r:id="rId10" w:history="1">
        <w:r w:rsidRPr="00A62DA2">
          <w:rPr>
            <w:rStyle w:val="Hyperlink"/>
            <w:rFonts w:ascii="Lora" w:hAnsi="Lora"/>
          </w:rPr>
          <w:t>plantclinic.cornell.ed</w:t>
        </w:r>
        <w:r w:rsidR="00117CDE" w:rsidRPr="00A62DA2">
          <w:rPr>
            <w:rStyle w:val="Hyperlink"/>
            <w:rFonts w:ascii="Lora" w:hAnsi="Lora"/>
          </w:rPr>
          <w:t>u</w:t>
        </w:r>
      </w:hyperlink>
      <w:bookmarkEnd w:id="0"/>
    </w:p>
    <w:p w14:paraId="073E9F93" w14:textId="42587105" w:rsidR="00DD02DC" w:rsidRPr="00712DAC" w:rsidRDefault="00DD02DC" w:rsidP="003D7E09">
      <w:pPr>
        <w:rPr>
          <w:rFonts w:ascii="Work Sans" w:hAnsi="Work Sans"/>
          <w:sz w:val="36"/>
          <w:szCs w:val="36"/>
        </w:rPr>
      </w:pPr>
    </w:p>
    <w:sectPr w:rsidR="00DD02DC" w:rsidRPr="00712DAC" w:rsidSect="00437088">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Work Sans">
    <w:charset w:val="00"/>
    <w:family w:val="auto"/>
    <w:pitch w:val="variable"/>
    <w:sig w:usb0="A00000FF" w:usb1="5000E07B" w:usb2="00000000" w:usb3="00000000" w:csb0="00000193" w:csb1="00000000"/>
  </w:font>
  <w:font w:name="Lora">
    <w:charset w:val="00"/>
    <w:family w:val="auto"/>
    <w:pitch w:val="variable"/>
    <w:sig w:usb0="A00002FF" w:usb1="5000204B" w:usb2="00000000" w:usb3="00000000" w:csb0="00000097" w:csb1="00000000"/>
  </w:font>
  <w:font w:name="AGaramondPro-Regular">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122C0"/>
    <w:multiLevelType w:val="hybridMultilevel"/>
    <w:tmpl w:val="B4D0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DC448C"/>
    <w:multiLevelType w:val="hybridMultilevel"/>
    <w:tmpl w:val="CD80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7921540">
    <w:abstractNumId w:val="1"/>
  </w:num>
  <w:num w:numId="2" w16cid:durableId="2096702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DB"/>
    <w:rsid w:val="00015D46"/>
    <w:rsid w:val="00017DA2"/>
    <w:rsid w:val="00086928"/>
    <w:rsid w:val="00094B24"/>
    <w:rsid w:val="000A02AC"/>
    <w:rsid w:val="000C3797"/>
    <w:rsid w:val="000D64CA"/>
    <w:rsid w:val="000F06D2"/>
    <w:rsid w:val="00117CDE"/>
    <w:rsid w:val="0013026F"/>
    <w:rsid w:val="00141E2E"/>
    <w:rsid w:val="001433B4"/>
    <w:rsid w:val="0016552F"/>
    <w:rsid w:val="001A1913"/>
    <w:rsid w:val="001A1A8C"/>
    <w:rsid w:val="001B6921"/>
    <w:rsid w:val="001E621B"/>
    <w:rsid w:val="0022664F"/>
    <w:rsid w:val="00232B42"/>
    <w:rsid w:val="002428A1"/>
    <w:rsid w:val="00245CF4"/>
    <w:rsid w:val="00273397"/>
    <w:rsid w:val="00297543"/>
    <w:rsid w:val="002F4E47"/>
    <w:rsid w:val="002F7961"/>
    <w:rsid w:val="00311275"/>
    <w:rsid w:val="00320FFA"/>
    <w:rsid w:val="0033776F"/>
    <w:rsid w:val="003621F8"/>
    <w:rsid w:val="00365D0E"/>
    <w:rsid w:val="00383002"/>
    <w:rsid w:val="00384F40"/>
    <w:rsid w:val="003B754B"/>
    <w:rsid w:val="003C4E17"/>
    <w:rsid w:val="003D6C2B"/>
    <w:rsid w:val="003D7E09"/>
    <w:rsid w:val="0042353D"/>
    <w:rsid w:val="00437088"/>
    <w:rsid w:val="004474E1"/>
    <w:rsid w:val="00466E05"/>
    <w:rsid w:val="0047553D"/>
    <w:rsid w:val="004778F5"/>
    <w:rsid w:val="004B0C53"/>
    <w:rsid w:val="004C536B"/>
    <w:rsid w:val="004D3299"/>
    <w:rsid w:val="00500C3D"/>
    <w:rsid w:val="00582EEA"/>
    <w:rsid w:val="0058677B"/>
    <w:rsid w:val="005D18BA"/>
    <w:rsid w:val="005E4CFA"/>
    <w:rsid w:val="005F7428"/>
    <w:rsid w:val="00640C1A"/>
    <w:rsid w:val="00656172"/>
    <w:rsid w:val="00676BE3"/>
    <w:rsid w:val="00677603"/>
    <w:rsid w:val="0068737A"/>
    <w:rsid w:val="00692AC8"/>
    <w:rsid w:val="006960F2"/>
    <w:rsid w:val="006C4487"/>
    <w:rsid w:val="006E4AC9"/>
    <w:rsid w:val="006F60A1"/>
    <w:rsid w:val="00705948"/>
    <w:rsid w:val="00712DAC"/>
    <w:rsid w:val="00722EC6"/>
    <w:rsid w:val="00724758"/>
    <w:rsid w:val="007270A2"/>
    <w:rsid w:val="0073478B"/>
    <w:rsid w:val="00773FF9"/>
    <w:rsid w:val="007860DB"/>
    <w:rsid w:val="00787B61"/>
    <w:rsid w:val="007B40A9"/>
    <w:rsid w:val="007D4341"/>
    <w:rsid w:val="007D654A"/>
    <w:rsid w:val="007F53B5"/>
    <w:rsid w:val="00831349"/>
    <w:rsid w:val="008508C6"/>
    <w:rsid w:val="00852CDA"/>
    <w:rsid w:val="00873866"/>
    <w:rsid w:val="008E6118"/>
    <w:rsid w:val="008F5DE7"/>
    <w:rsid w:val="009070B5"/>
    <w:rsid w:val="00920AF7"/>
    <w:rsid w:val="00957FA9"/>
    <w:rsid w:val="00960A0B"/>
    <w:rsid w:val="009662F3"/>
    <w:rsid w:val="009744F5"/>
    <w:rsid w:val="00981BBA"/>
    <w:rsid w:val="00982A07"/>
    <w:rsid w:val="009918DC"/>
    <w:rsid w:val="009D7FC0"/>
    <w:rsid w:val="00A62DA2"/>
    <w:rsid w:val="00A72146"/>
    <w:rsid w:val="00A96D02"/>
    <w:rsid w:val="00AC0740"/>
    <w:rsid w:val="00AC771A"/>
    <w:rsid w:val="00AF6A93"/>
    <w:rsid w:val="00B057EE"/>
    <w:rsid w:val="00B256FC"/>
    <w:rsid w:val="00B47C1A"/>
    <w:rsid w:val="00B773D7"/>
    <w:rsid w:val="00B87AF6"/>
    <w:rsid w:val="00B96351"/>
    <w:rsid w:val="00BC26F2"/>
    <w:rsid w:val="00BD60CA"/>
    <w:rsid w:val="00BE181D"/>
    <w:rsid w:val="00BF4746"/>
    <w:rsid w:val="00C243C4"/>
    <w:rsid w:val="00C554EE"/>
    <w:rsid w:val="00C60942"/>
    <w:rsid w:val="00C61F77"/>
    <w:rsid w:val="00C80312"/>
    <w:rsid w:val="00CA1346"/>
    <w:rsid w:val="00CB15FE"/>
    <w:rsid w:val="00CB5344"/>
    <w:rsid w:val="00D146BE"/>
    <w:rsid w:val="00D8288E"/>
    <w:rsid w:val="00DD02DC"/>
    <w:rsid w:val="00E32C02"/>
    <w:rsid w:val="00E56368"/>
    <w:rsid w:val="00E617D0"/>
    <w:rsid w:val="00E72037"/>
    <w:rsid w:val="00E74566"/>
    <w:rsid w:val="00E83159"/>
    <w:rsid w:val="00E942EB"/>
    <w:rsid w:val="00EB3366"/>
    <w:rsid w:val="00ED753D"/>
    <w:rsid w:val="00EE31A4"/>
    <w:rsid w:val="00F04F8E"/>
    <w:rsid w:val="00FB0F94"/>
    <w:rsid w:val="00FB2896"/>
    <w:rsid w:val="00FF1881"/>
    <w:rsid w:val="00FF4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75AF92"/>
  <w15:chartTrackingRefBased/>
  <w15:docId w15:val="{F720206A-050F-4F70-863F-BC48E923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70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33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0A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0A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270A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B336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B3366"/>
    <w:rPr>
      <w:color w:val="0563C1" w:themeColor="hyperlink"/>
      <w:u w:val="single"/>
    </w:rPr>
  </w:style>
  <w:style w:type="character" w:customStyle="1" w:styleId="Heading4Char">
    <w:name w:val="Heading 4 Char"/>
    <w:basedOn w:val="DefaultParagraphFont"/>
    <w:link w:val="Heading4"/>
    <w:uiPriority w:val="9"/>
    <w:semiHidden/>
    <w:rsid w:val="00920AF7"/>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920AF7"/>
    <w:pPr>
      <w:ind w:left="720"/>
      <w:contextualSpacing/>
    </w:pPr>
  </w:style>
  <w:style w:type="paragraph" w:styleId="NormalWeb">
    <w:name w:val="Normal (Web)"/>
    <w:basedOn w:val="Normal"/>
    <w:uiPriority w:val="99"/>
    <w:unhideWhenUsed/>
    <w:rsid w:val="00712DA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D64CA"/>
    <w:rPr>
      <w:color w:val="605E5C"/>
      <w:shd w:val="clear" w:color="auto" w:fill="E1DFDD"/>
    </w:rPr>
  </w:style>
  <w:style w:type="paragraph" w:styleId="BodyText">
    <w:name w:val="Body Text"/>
    <w:basedOn w:val="Normal"/>
    <w:link w:val="BodyTextChar"/>
    <w:uiPriority w:val="1"/>
    <w:qFormat/>
    <w:rsid w:val="002428A1"/>
    <w:pPr>
      <w:widowControl w:val="0"/>
      <w:autoSpaceDE w:val="0"/>
      <w:autoSpaceDN w:val="0"/>
      <w:spacing w:after="0" w:line="240" w:lineRule="auto"/>
    </w:pPr>
    <w:rPr>
      <w:rFonts w:ascii="Garamond" w:eastAsia="Garamond" w:hAnsi="Garamond" w:cs="Garamond"/>
      <w:sz w:val="24"/>
      <w:szCs w:val="24"/>
    </w:rPr>
  </w:style>
  <w:style w:type="character" w:customStyle="1" w:styleId="BodyTextChar">
    <w:name w:val="Body Text Char"/>
    <w:basedOn w:val="DefaultParagraphFont"/>
    <w:link w:val="BodyText"/>
    <w:uiPriority w:val="1"/>
    <w:rsid w:val="002428A1"/>
    <w:rPr>
      <w:rFonts w:ascii="Garamond" w:eastAsia="Garamond" w:hAnsi="Garamond" w:cs="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241986">
      <w:bodyDiv w:val="1"/>
      <w:marLeft w:val="0"/>
      <w:marRight w:val="0"/>
      <w:marTop w:val="0"/>
      <w:marBottom w:val="0"/>
      <w:divBdr>
        <w:top w:val="none" w:sz="0" w:space="0" w:color="auto"/>
        <w:left w:val="none" w:sz="0" w:space="0" w:color="auto"/>
        <w:bottom w:val="none" w:sz="0" w:space="0" w:color="auto"/>
        <w:right w:val="none" w:sz="0" w:space="0" w:color="auto"/>
      </w:divBdr>
    </w:div>
    <w:div w:id="178591698">
      <w:bodyDiv w:val="1"/>
      <w:marLeft w:val="0"/>
      <w:marRight w:val="0"/>
      <w:marTop w:val="0"/>
      <w:marBottom w:val="0"/>
      <w:divBdr>
        <w:top w:val="none" w:sz="0" w:space="0" w:color="auto"/>
        <w:left w:val="none" w:sz="0" w:space="0" w:color="auto"/>
        <w:bottom w:val="none" w:sz="0" w:space="0" w:color="auto"/>
        <w:right w:val="none" w:sz="0" w:space="0" w:color="auto"/>
      </w:divBdr>
    </w:div>
    <w:div w:id="281495374">
      <w:bodyDiv w:val="1"/>
      <w:marLeft w:val="0"/>
      <w:marRight w:val="0"/>
      <w:marTop w:val="0"/>
      <w:marBottom w:val="0"/>
      <w:divBdr>
        <w:top w:val="none" w:sz="0" w:space="0" w:color="auto"/>
        <w:left w:val="none" w:sz="0" w:space="0" w:color="auto"/>
        <w:bottom w:val="none" w:sz="0" w:space="0" w:color="auto"/>
        <w:right w:val="none" w:sz="0" w:space="0" w:color="auto"/>
      </w:divBdr>
    </w:div>
    <w:div w:id="420302889">
      <w:bodyDiv w:val="1"/>
      <w:marLeft w:val="0"/>
      <w:marRight w:val="0"/>
      <w:marTop w:val="0"/>
      <w:marBottom w:val="0"/>
      <w:divBdr>
        <w:top w:val="none" w:sz="0" w:space="0" w:color="auto"/>
        <w:left w:val="none" w:sz="0" w:space="0" w:color="auto"/>
        <w:bottom w:val="none" w:sz="0" w:space="0" w:color="auto"/>
        <w:right w:val="none" w:sz="0" w:space="0" w:color="auto"/>
      </w:divBdr>
    </w:div>
    <w:div w:id="501705123">
      <w:bodyDiv w:val="1"/>
      <w:marLeft w:val="0"/>
      <w:marRight w:val="0"/>
      <w:marTop w:val="0"/>
      <w:marBottom w:val="0"/>
      <w:divBdr>
        <w:top w:val="none" w:sz="0" w:space="0" w:color="auto"/>
        <w:left w:val="none" w:sz="0" w:space="0" w:color="auto"/>
        <w:bottom w:val="none" w:sz="0" w:space="0" w:color="auto"/>
        <w:right w:val="none" w:sz="0" w:space="0" w:color="auto"/>
      </w:divBdr>
    </w:div>
    <w:div w:id="509412349">
      <w:bodyDiv w:val="1"/>
      <w:marLeft w:val="0"/>
      <w:marRight w:val="0"/>
      <w:marTop w:val="0"/>
      <w:marBottom w:val="0"/>
      <w:divBdr>
        <w:top w:val="none" w:sz="0" w:space="0" w:color="auto"/>
        <w:left w:val="none" w:sz="0" w:space="0" w:color="auto"/>
        <w:bottom w:val="none" w:sz="0" w:space="0" w:color="auto"/>
        <w:right w:val="none" w:sz="0" w:space="0" w:color="auto"/>
      </w:divBdr>
    </w:div>
    <w:div w:id="552153224">
      <w:bodyDiv w:val="1"/>
      <w:marLeft w:val="0"/>
      <w:marRight w:val="0"/>
      <w:marTop w:val="0"/>
      <w:marBottom w:val="0"/>
      <w:divBdr>
        <w:top w:val="none" w:sz="0" w:space="0" w:color="auto"/>
        <w:left w:val="none" w:sz="0" w:space="0" w:color="auto"/>
        <w:bottom w:val="none" w:sz="0" w:space="0" w:color="auto"/>
        <w:right w:val="none" w:sz="0" w:space="0" w:color="auto"/>
      </w:divBdr>
    </w:div>
    <w:div w:id="792094963">
      <w:bodyDiv w:val="1"/>
      <w:marLeft w:val="0"/>
      <w:marRight w:val="0"/>
      <w:marTop w:val="0"/>
      <w:marBottom w:val="0"/>
      <w:divBdr>
        <w:top w:val="none" w:sz="0" w:space="0" w:color="auto"/>
        <w:left w:val="none" w:sz="0" w:space="0" w:color="auto"/>
        <w:bottom w:val="none" w:sz="0" w:space="0" w:color="auto"/>
        <w:right w:val="none" w:sz="0" w:space="0" w:color="auto"/>
      </w:divBdr>
    </w:div>
    <w:div w:id="941766447">
      <w:bodyDiv w:val="1"/>
      <w:marLeft w:val="0"/>
      <w:marRight w:val="0"/>
      <w:marTop w:val="0"/>
      <w:marBottom w:val="0"/>
      <w:divBdr>
        <w:top w:val="none" w:sz="0" w:space="0" w:color="auto"/>
        <w:left w:val="none" w:sz="0" w:space="0" w:color="auto"/>
        <w:bottom w:val="none" w:sz="0" w:space="0" w:color="auto"/>
        <w:right w:val="none" w:sz="0" w:space="0" w:color="auto"/>
      </w:divBdr>
    </w:div>
    <w:div w:id="990447595">
      <w:bodyDiv w:val="1"/>
      <w:marLeft w:val="0"/>
      <w:marRight w:val="0"/>
      <w:marTop w:val="0"/>
      <w:marBottom w:val="0"/>
      <w:divBdr>
        <w:top w:val="none" w:sz="0" w:space="0" w:color="auto"/>
        <w:left w:val="none" w:sz="0" w:space="0" w:color="auto"/>
        <w:bottom w:val="none" w:sz="0" w:space="0" w:color="auto"/>
        <w:right w:val="none" w:sz="0" w:space="0" w:color="auto"/>
      </w:divBdr>
    </w:div>
    <w:div w:id="1162618115">
      <w:bodyDiv w:val="1"/>
      <w:marLeft w:val="0"/>
      <w:marRight w:val="0"/>
      <w:marTop w:val="0"/>
      <w:marBottom w:val="0"/>
      <w:divBdr>
        <w:top w:val="none" w:sz="0" w:space="0" w:color="auto"/>
        <w:left w:val="none" w:sz="0" w:space="0" w:color="auto"/>
        <w:bottom w:val="none" w:sz="0" w:space="0" w:color="auto"/>
        <w:right w:val="none" w:sz="0" w:space="0" w:color="auto"/>
      </w:divBdr>
    </w:div>
    <w:div w:id="1270313300">
      <w:bodyDiv w:val="1"/>
      <w:marLeft w:val="0"/>
      <w:marRight w:val="0"/>
      <w:marTop w:val="0"/>
      <w:marBottom w:val="0"/>
      <w:divBdr>
        <w:top w:val="none" w:sz="0" w:space="0" w:color="auto"/>
        <w:left w:val="none" w:sz="0" w:space="0" w:color="auto"/>
        <w:bottom w:val="none" w:sz="0" w:space="0" w:color="auto"/>
        <w:right w:val="none" w:sz="0" w:space="0" w:color="auto"/>
      </w:divBdr>
      <w:divsChild>
        <w:div w:id="1331565289">
          <w:marLeft w:val="446"/>
          <w:marRight w:val="0"/>
          <w:marTop w:val="0"/>
          <w:marBottom w:val="0"/>
          <w:divBdr>
            <w:top w:val="none" w:sz="0" w:space="0" w:color="auto"/>
            <w:left w:val="none" w:sz="0" w:space="0" w:color="auto"/>
            <w:bottom w:val="none" w:sz="0" w:space="0" w:color="auto"/>
            <w:right w:val="none" w:sz="0" w:space="0" w:color="auto"/>
          </w:divBdr>
        </w:div>
        <w:div w:id="59639102">
          <w:marLeft w:val="446"/>
          <w:marRight w:val="0"/>
          <w:marTop w:val="0"/>
          <w:marBottom w:val="0"/>
          <w:divBdr>
            <w:top w:val="none" w:sz="0" w:space="0" w:color="auto"/>
            <w:left w:val="none" w:sz="0" w:space="0" w:color="auto"/>
            <w:bottom w:val="none" w:sz="0" w:space="0" w:color="auto"/>
            <w:right w:val="none" w:sz="0" w:space="0" w:color="auto"/>
          </w:divBdr>
        </w:div>
        <w:div w:id="237174810">
          <w:marLeft w:val="446"/>
          <w:marRight w:val="0"/>
          <w:marTop w:val="0"/>
          <w:marBottom w:val="0"/>
          <w:divBdr>
            <w:top w:val="none" w:sz="0" w:space="0" w:color="auto"/>
            <w:left w:val="none" w:sz="0" w:space="0" w:color="auto"/>
            <w:bottom w:val="none" w:sz="0" w:space="0" w:color="auto"/>
            <w:right w:val="none" w:sz="0" w:space="0" w:color="auto"/>
          </w:divBdr>
        </w:div>
        <w:div w:id="1281258380">
          <w:marLeft w:val="446"/>
          <w:marRight w:val="0"/>
          <w:marTop w:val="0"/>
          <w:marBottom w:val="0"/>
          <w:divBdr>
            <w:top w:val="none" w:sz="0" w:space="0" w:color="auto"/>
            <w:left w:val="none" w:sz="0" w:space="0" w:color="auto"/>
            <w:bottom w:val="none" w:sz="0" w:space="0" w:color="auto"/>
            <w:right w:val="none" w:sz="0" w:space="0" w:color="auto"/>
          </w:divBdr>
        </w:div>
        <w:div w:id="250237666">
          <w:marLeft w:val="446"/>
          <w:marRight w:val="0"/>
          <w:marTop w:val="0"/>
          <w:marBottom w:val="0"/>
          <w:divBdr>
            <w:top w:val="none" w:sz="0" w:space="0" w:color="auto"/>
            <w:left w:val="none" w:sz="0" w:space="0" w:color="auto"/>
            <w:bottom w:val="none" w:sz="0" w:space="0" w:color="auto"/>
            <w:right w:val="none" w:sz="0" w:space="0" w:color="auto"/>
          </w:divBdr>
        </w:div>
      </w:divsChild>
    </w:div>
    <w:div w:id="1319773318">
      <w:bodyDiv w:val="1"/>
      <w:marLeft w:val="0"/>
      <w:marRight w:val="0"/>
      <w:marTop w:val="0"/>
      <w:marBottom w:val="0"/>
      <w:divBdr>
        <w:top w:val="none" w:sz="0" w:space="0" w:color="auto"/>
        <w:left w:val="none" w:sz="0" w:space="0" w:color="auto"/>
        <w:bottom w:val="none" w:sz="0" w:space="0" w:color="auto"/>
        <w:right w:val="none" w:sz="0" w:space="0" w:color="auto"/>
      </w:divBdr>
    </w:div>
    <w:div w:id="1401711979">
      <w:bodyDiv w:val="1"/>
      <w:marLeft w:val="0"/>
      <w:marRight w:val="0"/>
      <w:marTop w:val="0"/>
      <w:marBottom w:val="0"/>
      <w:divBdr>
        <w:top w:val="none" w:sz="0" w:space="0" w:color="auto"/>
        <w:left w:val="none" w:sz="0" w:space="0" w:color="auto"/>
        <w:bottom w:val="none" w:sz="0" w:space="0" w:color="auto"/>
        <w:right w:val="none" w:sz="0" w:space="0" w:color="auto"/>
      </w:divBdr>
    </w:div>
    <w:div w:id="1405907453">
      <w:bodyDiv w:val="1"/>
      <w:marLeft w:val="0"/>
      <w:marRight w:val="0"/>
      <w:marTop w:val="0"/>
      <w:marBottom w:val="0"/>
      <w:divBdr>
        <w:top w:val="none" w:sz="0" w:space="0" w:color="auto"/>
        <w:left w:val="none" w:sz="0" w:space="0" w:color="auto"/>
        <w:bottom w:val="none" w:sz="0" w:space="0" w:color="auto"/>
        <w:right w:val="none" w:sz="0" w:space="0" w:color="auto"/>
      </w:divBdr>
    </w:div>
    <w:div w:id="164962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file:///C:\Users\slj2\Desktop\2024%20Web%20site%20fact%20sheets%20etc\2024%20Fact%20sheets%20in%20WORD\plantclinic.cornell.edu"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1485</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factsheet template</vt:lpstr>
    </vt:vector>
  </TitlesOfParts>
  <Company>Cornell University</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template</dc:title>
  <dc:subject/>
  <dc:creator>Craig Cramer</dc:creator>
  <cp:keywords/>
  <dc:description/>
  <cp:lastModifiedBy>Sandra Lorraine Jensen</cp:lastModifiedBy>
  <cp:revision>4</cp:revision>
  <cp:lastPrinted>2018-08-22T19:02:00Z</cp:lastPrinted>
  <dcterms:created xsi:type="dcterms:W3CDTF">2024-12-04T18:19:00Z</dcterms:created>
  <dcterms:modified xsi:type="dcterms:W3CDTF">2024-12-09T18:31:00Z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653dbecc367925eaf68bb7b544aaa82cec88839570ba25394097344caf3368b2</vt:lpwstr>
  </property>
</Properties>
</file>