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5E3DF85C" w:rsidR="00676BE3" w:rsidRPr="0058677B" w:rsidRDefault="00A92E8C" w:rsidP="006B7882">
      <w:pPr>
        <w:tabs>
          <w:tab w:val="left" w:pos="6585"/>
        </w:tabs>
        <w:rPr>
          <w:rFonts w:ascii="Work Sans" w:hAnsi="Work Sans"/>
          <w:b/>
          <w:color w:val="000000" w:themeColor="text1"/>
          <w:sz w:val="44"/>
          <w:szCs w:val="44"/>
        </w:rPr>
        <w:sectPr w:rsidR="00676BE3" w:rsidRPr="0058677B" w:rsidSect="00437088">
          <w:pgSz w:w="12240" w:h="15840"/>
          <w:pgMar w:top="720" w:right="720" w:bottom="720" w:left="720" w:header="720" w:footer="720" w:gutter="0"/>
          <w:cols w:space="720"/>
          <w:docGrid w:linePitch="360"/>
        </w:sectPr>
      </w:pPr>
      <w:r w:rsidRPr="00A92E8C">
        <w:rPr>
          <w:rFonts w:ascii="Work Sans" w:hAnsi="Work Sans"/>
          <w:b/>
          <w:color w:val="000000" w:themeColor="text1"/>
          <w:sz w:val="44"/>
          <w:szCs w:val="44"/>
        </w:rPr>
        <w:t>Necrotic Ring Spot:</w:t>
      </w:r>
      <w:r w:rsidR="00BA7D7A">
        <w:rPr>
          <w:rFonts w:ascii="Work Sans" w:hAnsi="Work Sans"/>
          <w:b/>
          <w:color w:val="000000" w:themeColor="text1"/>
          <w:sz w:val="44"/>
          <w:szCs w:val="44"/>
        </w:rPr>
        <w:t xml:space="preserve"> </w:t>
      </w:r>
      <w:proofErr w:type="spellStart"/>
      <w:r w:rsidR="00BA7D7A" w:rsidRPr="00BA7D7A">
        <w:rPr>
          <w:rFonts w:ascii="Work Sans" w:hAnsi="Work Sans"/>
          <w:i/>
          <w:color w:val="000000" w:themeColor="text1"/>
          <w:sz w:val="36"/>
          <w:szCs w:val="36"/>
        </w:rPr>
        <w:t>Ophiosphaerella</w:t>
      </w:r>
      <w:proofErr w:type="spellEnd"/>
      <w:r w:rsidR="00BA7D7A" w:rsidRPr="00BA7D7A">
        <w:rPr>
          <w:rFonts w:ascii="Work Sans" w:hAnsi="Work Sans"/>
          <w:i/>
          <w:color w:val="000000" w:themeColor="text1"/>
          <w:sz w:val="36"/>
          <w:szCs w:val="36"/>
        </w:rPr>
        <w:t xml:space="preserve"> </w:t>
      </w:r>
      <w:r w:rsidR="00BA7D7A" w:rsidRPr="00BA7D7A">
        <w:rPr>
          <w:rFonts w:ascii="Work Sans" w:hAnsi="Work Sans"/>
          <w:iCs/>
          <w:color w:val="000000" w:themeColor="text1"/>
          <w:sz w:val="36"/>
          <w:szCs w:val="36"/>
        </w:rPr>
        <w:t>(syn=</w:t>
      </w:r>
      <w:r w:rsidR="00BA7D7A" w:rsidRPr="00BA7D7A">
        <w:rPr>
          <w:rFonts w:ascii="Work Sans" w:hAnsi="Work Sans"/>
          <w:i/>
          <w:color w:val="000000" w:themeColor="text1"/>
          <w:sz w:val="36"/>
          <w:szCs w:val="36"/>
        </w:rPr>
        <w:t xml:space="preserve"> Leptosphaeria</w:t>
      </w:r>
      <w:r w:rsidR="00BA7D7A" w:rsidRPr="00BA7D7A">
        <w:rPr>
          <w:rFonts w:ascii="Work Sans" w:hAnsi="Work Sans"/>
          <w:iCs/>
          <w:color w:val="000000" w:themeColor="text1"/>
          <w:sz w:val="36"/>
          <w:szCs w:val="36"/>
        </w:rPr>
        <w:t>)</w:t>
      </w:r>
      <w:r w:rsidR="00BA7D7A" w:rsidRPr="00BA7D7A">
        <w:rPr>
          <w:rFonts w:ascii="Work Sans" w:hAnsi="Work Sans"/>
          <w:i/>
          <w:color w:val="000000" w:themeColor="text1"/>
          <w:sz w:val="36"/>
          <w:szCs w:val="36"/>
        </w:rPr>
        <w:t xml:space="preserve"> </w:t>
      </w:r>
      <w:proofErr w:type="spellStart"/>
      <w:r w:rsidR="00BA7D7A" w:rsidRPr="00BA7D7A">
        <w:rPr>
          <w:rFonts w:ascii="Work Sans" w:hAnsi="Work Sans"/>
          <w:i/>
          <w:color w:val="000000" w:themeColor="text1"/>
          <w:sz w:val="36"/>
          <w:szCs w:val="36"/>
        </w:rPr>
        <w:t>korrae</w:t>
      </w:r>
      <w:proofErr w:type="spellEnd"/>
    </w:p>
    <w:p w14:paraId="37DB4BBF" w14:textId="38218701" w:rsidR="00925A05" w:rsidRDefault="00712DAC" w:rsidP="006B7882">
      <w:pPr>
        <w:spacing w:after="120"/>
        <w:rPr>
          <w:rFonts w:ascii="Lora" w:hAnsi="Lora" w:cs="AGaramondPro-Regular"/>
        </w:rPr>
      </w:pPr>
      <w:r w:rsidRPr="005E4CFA">
        <w:rPr>
          <w:rFonts w:ascii="Work Sans" w:hAnsi="Work Sans"/>
          <w:b/>
          <w:color w:val="000000" w:themeColor="text1"/>
          <w:sz w:val="28"/>
          <w:szCs w:val="28"/>
        </w:rPr>
        <w:t>Introduction</w:t>
      </w:r>
    </w:p>
    <w:p w14:paraId="746EED10" w14:textId="6679723C" w:rsidR="00BA7D7A" w:rsidRPr="001F00C6" w:rsidRDefault="001F00C6" w:rsidP="00BA7D7A">
      <w:pPr>
        <w:spacing w:after="120"/>
        <w:rPr>
          <w:rFonts w:ascii="Lora" w:hAnsi="Lora" w:cs="AGaramondPro-Regular"/>
        </w:rPr>
      </w:pPr>
      <w:r w:rsidRPr="001F00C6">
        <w:rPr>
          <w:rFonts w:ascii="Lora" w:hAnsi="Lora" w:cs="AGaramondPro-Regular"/>
        </w:rPr>
        <w:t>Kentucky bluegrass (</w:t>
      </w:r>
      <w:r w:rsidRPr="001F00C6">
        <w:rPr>
          <w:rFonts w:ascii="Lora" w:hAnsi="Lora" w:cs="AGaramondPro-Regular"/>
          <w:i/>
          <w:iCs/>
        </w:rPr>
        <w:t>Poa pratensis</w:t>
      </w:r>
      <w:r w:rsidRPr="001F00C6">
        <w:rPr>
          <w:rFonts w:ascii="Lora" w:hAnsi="Lora" w:cs="AGaramondPro-Regular"/>
        </w:rPr>
        <w:t>), annual bluegrass (</w:t>
      </w:r>
      <w:r w:rsidRPr="001F00C6">
        <w:rPr>
          <w:rFonts w:ascii="Lora" w:hAnsi="Lora" w:cs="AGaramondPro-Regular"/>
          <w:i/>
          <w:iCs/>
        </w:rPr>
        <w:t>Poa annua</w:t>
      </w:r>
      <w:r w:rsidRPr="001F00C6">
        <w:rPr>
          <w:rFonts w:ascii="Lora" w:hAnsi="Lora" w:cs="AGaramondPro-Regular"/>
        </w:rPr>
        <w:t>), fescues (</w:t>
      </w:r>
      <w:r w:rsidRPr="001F00C6">
        <w:rPr>
          <w:rFonts w:ascii="Lora" w:hAnsi="Lora" w:cs="AGaramondPro-Regular"/>
          <w:i/>
          <w:iCs/>
        </w:rPr>
        <w:t>Festuca</w:t>
      </w:r>
      <w:r w:rsidRPr="001F00C6">
        <w:rPr>
          <w:rFonts w:ascii="Lora" w:hAnsi="Lora" w:cs="AGaramondPro-Regular"/>
        </w:rPr>
        <w:t xml:space="preserve"> spp.), and </w:t>
      </w:r>
      <w:proofErr w:type="spellStart"/>
      <w:r w:rsidRPr="001F00C6">
        <w:rPr>
          <w:rFonts w:ascii="Lora" w:hAnsi="Lora" w:cs="AGaramondPro-Regular"/>
        </w:rPr>
        <w:t>bentgrasses</w:t>
      </w:r>
      <w:proofErr w:type="spellEnd"/>
      <w:r w:rsidRPr="001F00C6">
        <w:rPr>
          <w:rFonts w:ascii="Lora" w:hAnsi="Lora" w:cs="AGaramondPro-Regular"/>
        </w:rPr>
        <w:t xml:space="preserve"> (</w:t>
      </w:r>
      <w:r w:rsidRPr="001F00C6">
        <w:rPr>
          <w:rFonts w:ascii="Lora" w:hAnsi="Lora" w:cs="AGaramondPro-Regular"/>
          <w:i/>
          <w:iCs/>
        </w:rPr>
        <w:t>Agrostis</w:t>
      </w:r>
      <w:r w:rsidRPr="001F00C6">
        <w:rPr>
          <w:rFonts w:ascii="Lora" w:hAnsi="Lora" w:cs="AGaramondPro-Regular"/>
        </w:rPr>
        <w:t xml:space="preserve"> spp.) can decline during the summer due to an interaction of environmental factors and a root and/or crown rot caused by the fungus </w:t>
      </w:r>
      <w:r w:rsidRPr="001F00C6">
        <w:rPr>
          <w:rFonts w:ascii="Lora" w:hAnsi="Lora" w:cs="AGaramondPro-Regular"/>
          <w:i/>
          <w:iCs/>
        </w:rPr>
        <w:t xml:space="preserve">Leptosphaeria </w:t>
      </w:r>
      <w:proofErr w:type="spellStart"/>
      <w:r w:rsidRPr="001F00C6">
        <w:rPr>
          <w:rFonts w:ascii="Lora" w:hAnsi="Lora" w:cs="AGaramondPro-Regular"/>
          <w:i/>
          <w:iCs/>
        </w:rPr>
        <w:t>korrae</w:t>
      </w:r>
      <w:proofErr w:type="spellEnd"/>
      <w:r w:rsidRPr="001F00C6">
        <w:rPr>
          <w:rFonts w:ascii="Lora" w:hAnsi="Lora" w:cs="AGaramondPro-Regular"/>
        </w:rPr>
        <w:t>. T</w:t>
      </w:r>
      <w:r>
        <w:rPr>
          <w:rFonts w:ascii="Lora" w:hAnsi="Lora" w:cs="AGaramondPro-Regular"/>
        </w:rPr>
        <w:t>h</w:t>
      </w:r>
      <w:r w:rsidRPr="001F00C6">
        <w:rPr>
          <w:rFonts w:ascii="Lora" w:hAnsi="Lora" w:cs="AGaramondPro-Regular"/>
        </w:rPr>
        <w:t>e high level of dif</w:t>
      </w:r>
      <w:r>
        <w:rPr>
          <w:rFonts w:ascii="Lora" w:hAnsi="Lora" w:cs="AGaramondPro-Regular"/>
        </w:rPr>
        <w:t>fi</w:t>
      </w:r>
      <w:r w:rsidRPr="001F00C6">
        <w:rPr>
          <w:rFonts w:ascii="Lora" w:hAnsi="Lora" w:cs="AGaramondPro-Regular"/>
        </w:rPr>
        <w:t xml:space="preserve">culty involved in clinical evaluations of </w:t>
      </w:r>
      <w:r w:rsidRPr="001F00C6">
        <w:rPr>
          <w:rFonts w:ascii="Lora" w:hAnsi="Lora" w:cs="AGaramondPro-Regular"/>
          <w:i/>
          <w:iCs/>
        </w:rPr>
        <w:t xml:space="preserve">Leptosphaeria </w:t>
      </w:r>
      <w:proofErr w:type="spellStart"/>
      <w:r w:rsidRPr="001F00C6">
        <w:rPr>
          <w:rFonts w:ascii="Lora" w:hAnsi="Lora" w:cs="AGaramondPro-Regular"/>
          <w:i/>
          <w:iCs/>
        </w:rPr>
        <w:t>korrae</w:t>
      </w:r>
      <w:proofErr w:type="spellEnd"/>
      <w:r w:rsidRPr="001F00C6">
        <w:rPr>
          <w:rFonts w:ascii="Lora" w:hAnsi="Lora" w:cs="AGaramondPro-Regular"/>
          <w:i/>
          <w:iCs/>
        </w:rPr>
        <w:t xml:space="preserve">, </w:t>
      </w:r>
      <w:proofErr w:type="spellStart"/>
      <w:r w:rsidRPr="001F00C6">
        <w:rPr>
          <w:rFonts w:ascii="Lora" w:hAnsi="Lora" w:cs="AGaramondPro-Regular"/>
          <w:i/>
          <w:iCs/>
        </w:rPr>
        <w:t>Magnaporthe</w:t>
      </w:r>
      <w:proofErr w:type="spellEnd"/>
      <w:r w:rsidRPr="001F00C6">
        <w:rPr>
          <w:rFonts w:ascii="Lora" w:hAnsi="Lora" w:cs="AGaramondPro-Regular"/>
          <w:i/>
          <w:iCs/>
        </w:rPr>
        <w:t xml:space="preserve"> </w:t>
      </w:r>
      <w:proofErr w:type="spellStart"/>
      <w:r w:rsidRPr="001F00C6">
        <w:rPr>
          <w:rFonts w:ascii="Lora" w:hAnsi="Lora" w:cs="AGaramondPro-Regular"/>
          <w:i/>
          <w:iCs/>
        </w:rPr>
        <w:t>poae</w:t>
      </w:r>
      <w:proofErr w:type="spellEnd"/>
      <w:r w:rsidRPr="001F00C6">
        <w:rPr>
          <w:rFonts w:ascii="Lora" w:hAnsi="Lora" w:cs="AGaramondPro-Regular"/>
        </w:rPr>
        <w:t xml:space="preserve">, and related fungi, and the extreme ease of isolation of decomposer fungi such as </w:t>
      </w:r>
      <w:r w:rsidRPr="00406860">
        <w:rPr>
          <w:rFonts w:ascii="Lora" w:hAnsi="Lora" w:cs="AGaramondPro-Regular"/>
          <w:i/>
          <w:iCs/>
        </w:rPr>
        <w:t>Fusarium</w:t>
      </w:r>
      <w:r w:rsidRPr="001F00C6">
        <w:rPr>
          <w:rFonts w:ascii="Lora" w:hAnsi="Lora" w:cs="AGaramondPro-Regular"/>
        </w:rPr>
        <w:t xml:space="preserve"> spp. caused this disease and another disease known as Summer Patch to be grouped into a disease complex previously known as Fusarium Blight. Eventually, the organisms involved were better distinguished and separated into the diseases now known as Summer Patch, caused by </w:t>
      </w:r>
      <w:proofErr w:type="spellStart"/>
      <w:r w:rsidRPr="00406860">
        <w:rPr>
          <w:rFonts w:ascii="Lora" w:hAnsi="Lora" w:cs="AGaramondPro-Regular"/>
          <w:i/>
          <w:iCs/>
        </w:rPr>
        <w:t>Magnaporthe</w:t>
      </w:r>
      <w:proofErr w:type="spellEnd"/>
      <w:r w:rsidRPr="00406860">
        <w:rPr>
          <w:rFonts w:ascii="Lora" w:hAnsi="Lora" w:cs="AGaramondPro-Regular"/>
          <w:i/>
          <w:iCs/>
        </w:rPr>
        <w:t xml:space="preserve"> </w:t>
      </w:r>
      <w:proofErr w:type="spellStart"/>
      <w:r w:rsidRPr="00406860">
        <w:rPr>
          <w:rFonts w:ascii="Lora" w:hAnsi="Lora" w:cs="AGaramondPro-Regular"/>
          <w:i/>
          <w:iCs/>
        </w:rPr>
        <w:t>paoe</w:t>
      </w:r>
      <w:proofErr w:type="spellEnd"/>
      <w:r w:rsidR="005C4B66">
        <w:rPr>
          <w:rFonts w:ascii="Lora" w:hAnsi="Lora" w:cs="AGaramondPro-Regular"/>
          <w:i/>
          <w:iCs/>
        </w:rPr>
        <w:t>,</w:t>
      </w:r>
      <w:r w:rsidRPr="001F00C6">
        <w:rPr>
          <w:rFonts w:ascii="Lora" w:hAnsi="Lora" w:cs="AGaramondPro-Regular"/>
        </w:rPr>
        <w:t xml:space="preserve"> and </w:t>
      </w:r>
      <w:proofErr w:type="spellStart"/>
      <w:r w:rsidRPr="001F00C6">
        <w:rPr>
          <w:rFonts w:ascii="Lora" w:hAnsi="Lora" w:cs="AGaramondPro-Regular"/>
        </w:rPr>
        <w:t>Nectrotic</w:t>
      </w:r>
      <w:proofErr w:type="spellEnd"/>
      <w:r w:rsidRPr="001F00C6">
        <w:rPr>
          <w:rFonts w:ascii="Lora" w:hAnsi="Lora" w:cs="AGaramondPro-Regular"/>
        </w:rPr>
        <w:t xml:space="preserve"> Ring Spot, cause</w:t>
      </w:r>
      <w:r w:rsidR="00406860">
        <w:rPr>
          <w:rFonts w:ascii="Lora" w:hAnsi="Lora" w:cs="AGaramondPro-Regular"/>
        </w:rPr>
        <w:t>d</w:t>
      </w:r>
      <w:r w:rsidRPr="001F00C6">
        <w:rPr>
          <w:rFonts w:ascii="Lora" w:hAnsi="Lora" w:cs="AGaramondPro-Regular"/>
        </w:rPr>
        <w:t xml:space="preserve"> by </w:t>
      </w:r>
      <w:r w:rsidRPr="001F00C6">
        <w:rPr>
          <w:rFonts w:ascii="Lora" w:hAnsi="Lora" w:cs="AGaramondPro-Regular"/>
          <w:i/>
          <w:iCs/>
        </w:rPr>
        <w:t xml:space="preserve">Leptosphaeria </w:t>
      </w:r>
      <w:proofErr w:type="spellStart"/>
      <w:r w:rsidRPr="001F00C6">
        <w:rPr>
          <w:rFonts w:ascii="Lora" w:hAnsi="Lora" w:cs="AGaramondPro-Regular"/>
          <w:i/>
          <w:iCs/>
        </w:rPr>
        <w:t>korrae</w:t>
      </w:r>
      <w:proofErr w:type="spellEnd"/>
      <w:r w:rsidRPr="001F00C6">
        <w:rPr>
          <w:rFonts w:ascii="Lora" w:hAnsi="Lora" w:cs="AGaramondPro-Regular"/>
        </w:rPr>
        <w:t>. T</w:t>
      </w:r>
      <w:r>
        <w:rPr>
          <w:rFonts w:ascii="Lora" w:hAnsi="Lora" w:cs="AGaramondPro-Regular"/>
        </w:rPr>
        <w:t>h</w:t>
      </w:r>
      <w:r w:rsidRPr="001F00C6">
        <w:rPr>
          <w:rFonts w:ascii="Lora" w:hAnsi="Lora" w:cs="AGaramondPro-Regular"/>
        </w:rPr>
        <w:t>e latter disease is described in greater detail here.</w:t>
      </w:r>
    </w:p>
    <w:p w14:paraId="58873993" w14:textId="77777777" w:rsidR="00BF3E41" w:rsidRDefault="00712DAC" w:rsidP="000868DA">
      <w:pPr>
        <w:spacing w:after="120"/>
        <w:rPr>
          <w:rFonts w:ascii="Lora" w:hAnsi="Lora" w:cs="AGaramondPro-Regular"/>
        </w:rPr>
      </w:pPr>
      <w:r w:rsidRPr="005E4CFA">
        <w:rPr>
          <w:rFonts w:ascii="Work Sans" w:hAnsi="Work Sans"/>
          <w:b/>
          <w:color w:val="000000"/>
          <w:sz w:val="28"/>
          <w:szCs w:val="28"/>
        </w:rPr>
        <w:t>Symptoms and Signs</w:t>
      </w:r>
    </w:p>
    <w:p w14:paraId="550E78FC" w14:textId="62FA24FB" w:rsidR="00AA4C6D" w:rsidRDefault="00A12BD3" w:rsidP="000868DA">
      <w:pPr>
        <w:spacing w:after="120"/>
        <w:rPr>
          <w:rFonts w:ascii="Lora" w:hAnsi="Lora" w:cs="AGaramondPro-Regular"/>
        </w:rPr>
      </w:pPr>
      <w:r w:rsidRPr="00A12BD3">
        <w:rPr>
          <w:rFonts w:ascii="Lora" w:hAnsi="Lora" w:cs="AGaramondPro-Regular"/>
        </w:rPr>
        <w:t>Symptoms are usually f</w:t>
      </w:r>
      <w:r>
        <w:rPr>
          <w:rFonts w:ascii="Lora" w:hAnsi="Lora" w:cs="AGaramondPro-Regular"/>
        </w:rPr>
        <w:t>i</w:t>
      </w:r>
      <w:r w:rsidRPr="00A12BD3">
        <w:rPr>
          <w:rFonts w:ascii="Lora" w:hAnsi="Lora" w:cs="AGaramondPro-Regular"/>
        </w:rPr>
        <w:t>rst noticed in late spring and early autumn but can be observed throughout the growing season. It can be dif</w:t>
      </w:r>
      <w:r>
        <w:rPr>
          <w:rFonts w:ascii="Lora" w:hAnsi="Lora" w:cs="AGaramondPro-Regular"/>
        </w:rPr>
        <w:t>fi</w:t>
      </w:r>
      <w:r w:rsidRPr="00A12BD3">
        <w:rPr>
          <w:rFonts w:ascii="Lora" w:hAnsi="Lora" w:cs="AGaramondPro-Regular"/>
        </w:rPr>
        <w:t>cult to diagnose this disease by symptoms alone during the early stages. T</w:t>
      </w:r>
      <w:r>
        <w:rPr>
          <w:rFonts w:ascii="Lora" w:hAnsi="Lora" w:cs="AGaramondPro-Regular"/>
        </w:rPr>
        <w:t>h</w:t>
      </w:r>
      <w:r w:rsidRPr="00A12BD3">
        <w:rPr>
          <w:rFonts w:ascii="Lora" w:hAnsi="Lora" w:cs="AGaramondPro-Regular"/>
        </w:rPr>
        <w:t>e disease begins as scattered light green patches 5 to 10 cm in diameter. T</w:t>
      </w:r>
      <w:r>
        <w:rPr>
          <w:rFonts w:ascii="Lora" w:hAnsi="Lora" w:cs="AGaramondPro-Regular"/>
        </w:rPr>
        <w:t>h</w:t>
      </w:r>
      <w:r w:rsidRPr="00A12BD3">
        <w:rPr>
          <w:rFonts w:ascii="Lora" w:hAnsi="Lora" w:cs="AGaramondPro-Regular"/>
        </w:rPr>
        <w:t xml:space="preserve">ese patches may then grow as large as 1 meter in diameter and turn </w:t>
      </w:r>
      <w:r w:rsidR="004E32EC" w:rsidRPr="00A12BD3">
        <w:rPr>
          <w:rFonts w:ascii="Lora" w:hAnsi="Lora" w:cs="AGaramondPro-Regular"/>
        </w:rPr>
        <w:t>dull tan</w:t>
      </w:r>
      <w:r w:rsidRPr="00A12BD3">
        <w:rPr>
          <w:rFonts w:ascii="Lora" w:hAnsi="Lora" w:cs="AGaramondPro-Regular"/>
        </w:rPr>
        <w:t xml:space="preserve"> to reddish-brown. T</w:t>
      </w:r>
      <w:r>
        <w:rPr>
          <w:rFonts w:ascii="Lora" w:hAnsi="Lora" w:cs="AGaramondPro-Regular"/>
        </w:rPr>
        <w:t>h</w:t>
      </w:r>
      <w:r w:rsidRPr="00A12BD3">
        <w:rPr>
          <w:rFonts w:ascii="Lora" w:hAnsi="Lora" w:cs="AGaramondPro-Regular"/>
        </w:rPr>
        <w:t>e most diagnostic of these larger patches in the lawn may exhibit a "</w:t>
      </w:r>
      <w:proofErr w:type="gramStart"/>
      <w:r w:rsidRPr="00A12BD3">
        <w:rPr>
          <w:rFonts w:ascii="Lora" w:hAnsi="Lora" w:cs="AGaramondPro-Regular"/>
        </w:rPr>
        <w:t>frog-eye</w:t>
      </w:r>
      <w:proofErr w:type="gramEnd"/>
      <w:r w:rsidRPr="00A12BD3">
        <w:rPr>
          <w:rFonts w:ascii="Lora" w:hAnsi="Lora" w:cs="AGaramondPro-Regular"/>
        </w:rPr>
        <w:t xml:space="preserve">" pattern. In </w:t>
      </w:r>
      <w:proofErr w:type="gramStart"/>
      <w:r w:rsidRPr="00A12BD3">
        <w:rPr>
          <w:rFonts w:ascii="Lora" w:hAnsi="Lora" w:cs="AGaramondPro-Regular"/>
        </w:rPr>
        <w:t>frog-eyes</w:t>
      </w:r>
      <w:proofErr w:type="gramEnd"/>
      <w:r>
        <w:rPr>
          <w:rFonts w:ascii="Lora" w:hAnsi="Lora" w:cs="AGaramondPro-Regular"/>
        </w:rPr>
        <w:t>,</w:t>
      </w:r>
      <w:r w:rsidRPr="00A12BD3">
        <w:rPr>
          <w:rFonts w:ascii="Lora" w:hAnsi="Lora" w:cs="AGaramondPro-Regular"/>
        </w:rPr>
        <w:t xml:space="preserve"> a healthy green patch of grass is partially or completely surrounded by </w:t>
      </w:r>
      <w:r w:rsidRPr="00A12BD3">
        <w:rPr>
          <w:rFonts w:ascii="Lora" w:hAnsi="Lora" w:cs="AGaramondPro-Regular"/>
        </w:rPr>
        <w:t>a ring of dead grass. Distinct streaks, crescents, and circular patterns are found in the af</w:t>
      </w:r>
      <w:r>
        <w:rPr>
          <w:rFonts w:ascii="Lora" w:hAnsi="Lora" w:cs="AGaramondPro-Regular"/>
        </w:rPr>
        <w:t>f</w:t>
      </w:r>
      <w:r w:rsidRPr="00A12BD3">
        <w:rPr>
          <w:rFonts w:ascii="Lora" w:hAnsi="Lora" w:cs="AGaramondPro-Regular"/>
        </w:rPr>
        <w:t>ected lawn area. Necrotic Ring Spot may occur throughout the growing season but tends to be worse during the cooler parts of the year (April/May-Sept/Oct). If Necrotic Ring Spot continues through the summer months, it may cause rot where the crown and roots become blackened</w:t>
      </w:r>
      <w:r>
        <w:rPr>
          <w:rFonts w:ascii="Lora" w:hAnsi="Lora" w:cs="AGaramondPro-Regular"/>
        </w:rPr>
        <w:t>,</w:t>
      </w:r>
      <w:r w:rsidRPr="00A12BD3">
        <w:rPr>
          <w:rFonts w:ascii="Lora" w:hAnsi="Lora" w:cs="AGaramondPro-Regular"/>
        </w:rPr>
        <w:t xml:space="preserve"> and dark mycelium may be viewed on infected parts. Leaf lesions are often, but not always, associated with this disease. If present, they are variable in size, shape, and color. T</w:t>
      </w:r>
      <w:r>
        <w:rPr>
          <w:rFonts w:ascii="Lora" w:hAnsi="Lora" w:cs="AGaramondPro-Regular"/>
        </w:rPr>
        <w:t>h</w:t>
      </w:r>
      <w:r w:rsidRPr="00A12BD3">
        <w:rPr>
          <w:rFonts w:ascii="Lora" w:hAnsi="Lora" w:cs="AGaramondPro-Regular"/>
        </w:rPr>
        <w:t>ey usually extend across the blade and are yellowish, dull-tan, or reddish-brown. Many other fungal diseases can also cause leaf lesions. Microscopic examination is often necessary to determine the cause of the problem.</w:t>
      </w:r>
    </w:p>
    <w:p w14:paraId="4DED74D5" w14:textId="155E108D" w:rsidR="00C276A8" w:rsidRDefault="00A12BD3" w:rsidP="000868DA">
      <w:pPr>
        <w:spacing w:after="120"/>
        <w:rPr>
          <w:rFonts w:ascii="Lora" w:hAnsi="Lora" w:cs="AGaramondPro-Regular"/>
        </w:rPr>
      </w:pPr>
      <w:r w:rsidRPr="00A12BD3">
        <w:rPr>
          <w:rFonts w:ascii="Lora" w:hAnsi="Lora" w:cs="AGaramondPro-Regular"/>
          <w:noProof/>
        </w:rPr>
        <w:drawing>
          <wp:inline distT="0" distB="0" distL="0" distR="0" wp14:anchorId="54ADA8E5" wp14:editId="2822AD61">
            <wp:extent cx="3200400" cy="2082800"/>
            <wp:effectExtent l="0" t="0" r="0" b="0"/>
            <wp:docPr id="356514430" name="Picture 1" descr="Close-up of a plant with black ba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14430" name="Picture 1" descr="Close-up of a plant with black balls&#10;&#10;Description automatically generated"/>
                    <pic:cNvPicPr/>
                  </pic:nvPicPr>
                  <pic:blipFill>
                    <a:blip r:embed="rId6"/>
                    <a:stretch>
                      <a:fillRect/>
                    </a:stretch>
                  </pic:blipFill>
                  <pic:spPr>
                    <a:xfrm>
                      <a:off x="0" y="0"/>
                      <a:ext cx="3200400" cy="2082800"/>
                    </a:xfrm>
                    <a:prstGeom prst="rect">
                      <a:avLst/>
                    </a:prstGeom>
                  </pic:spPr>
                </pic:pic>
              </a:graphicData>
            </a:graphic>
          </wp:inline>
        </w:drawing>
      </w:r>
    </w:p>
    <w:p w14:paraId="08AF4E1F" w14:textId="7C1C71AD" w:rsidR="00B94A1C" w:rsidRPr="00705BFB" w:rsidRDefault="00B85851" w:rsidP="000868DA">
      <w:pPr>
        <w:spacing w:after="120"/>
        <w:rPr>
          <w:rFonts w:ascii="Lora" w:hAnsi="Lora" w:cs="AGaramondPro-Regular"/>
          <w:sz w:val="20"/>
          <w:szCs w:val="20"/>
        </w:rPr>
      </w:pPr>
      <w:r w:rsidRPr="00B85851">
        <w:rPr>
          <w:rFonts w:ascii="Lora" w:hAnsi="Lora" w:cs="AGaramondPro-Regular"/>
          <w:sz w:val="20"/>
          <w:szCs w:val="20"/>
        </w:rPr>
        <w:t xml:space="preserve">Figure </w:t>
      </w:r>
      <w:r w:rsidR="00A12BD3">
        <w:rPr>
          <w:rFonts w:ascii="Lora" w:hAnsi="Lora" w:cs="AGaramondPro-Regular"/>
          <w:sz w:val="20"/>
          <w:szCs w:val="20"/>
        </w:rPr>
        <w:t>1</w:t>
      </w:r>
      <w:r w:rsidR="00705BFB">
        <w:rPr>
          <w:rFonts w:ascii="Lora" w:hAnsi="Lora" w:cs="AGaramondPro-Regular"/>
          <w:sz w:val="20"/>
          <w:szCs w:val="20"/>
        </w:rPr>
        <w:t>.</w:t>
      </w:r>
      <w:r w:rsidR="005C4B66" w:rsidRPr="005C4B66">
        <w:t xml:space="preserve"> </w:t>
      </w:r>
      <w:proofErr w:type="spellStart"/>
      <w:r w:rsidR="005C4B66" w:rsidRPr="005C4B66">
        <w:rPr>
          <w:rFonts w:ascii="Lora" w:hAnsi="Lora" w:cs="AGaramondPro-Regular"/>
          <w:sz w:val="20"/>
          <w:szCs w:val="20"/>
        </w:rPr>
        <w:t>Pseudothecia</w:t>
      </w:r>
      <w:proofErr w:type="spellEnd"/>
      <w:r w:rsidR="005C4B66" w:rsidRPr="005C4B66">
        <w:rPr>
          <w:rFonts w:ascii="Lora" w:hAnsi="Lora" w:cs="AGaramondPro-Regular"/>
          <w:sz w:val="20"/>
          <w:szCs w:val="20"/>
        </w:rPr>
        <w:t xml:space="preserve"> on fescue roots (provided by Dr. Eric B. Nelson, Cornell University)</w:t>
      </w:r>
    </w:p>
    <w:p w14:paraId="0820176D" w14:textId="20FBE10E" w:rsidR="00EE4FBD" w:rsidRPr="00473CFB" w:rsidRDefault="00C276A8" w:rsidP="00EE4FBD">
      <w:pPr>
        <w:spacing w:after="120"/>
        <w:rPr>
          <w:rFonts w:ascii="Work Sans" w:hAnsi="Work Sans"/>
          <w:b/>
          <w:color w:val="000000"/>
          <w:sz w:val="28"/>
          <w:szCs w:val="28"/>
        </w:rPr>
      </w:pPr>
      <w:r>
        <w:rPr>
          <w:rFonts w:ascii="Work Sans" w:hAnsi="Work Sans"/>
          <w:b/>
          <w:color w:val="000000"/>
          <w:sz w:val="28"/>
          <w:szCs w:val="28"/>
        </w:rPr>
        <w:t>Disease Cycle</w:t>
      </w:r>
    </w:p>
    <w:p w14:paraId="39C7C9F9" w14:textId="5A0E97A7" w:rsidR="00103BB8" w:rsidRDefault="00B74B6B" w:rsidP="00103BB8">
      <w:pPr>
        <w:rPr>
          <w:rFonts w:ascii="Lora" w:hAnsi="Lora" w:cs="Times New Roman"/>
        </w:rPr>
      </w:pPr>
      <w:r w:rsidRPr="00B74B6B">
        <w:rPr>
          <w:rFonts w:ascii="Lora" w:hAnsi="Lora" w:cs="Times New Roman"/>
        </w:rPr>
        <w:t>T</w:t>
      </w:r>
      <w:r>
        <w:rPr>
          <w:rFonts w:ascii="Lora" w:hAnsi="Lora" w:cs="Times New Roman"/>
        </w:rPr>
        <w:t>h</w:t>
      </w:r>
      <w:r w:rsidRPr="00B74B6B">
        <w:rPr>
          <w:rFonts w:ascii="Lora" w:hAnsi="Lora" w:cs="Times New Roman"/>
        </w:rPr>
        <w:t xml:space="preserve">e fungus survives unfavorable conditions </w:t>
      </w:r>
      <w:r>
        <w:rPr>
          <w:rFonts w:ascii="Lora" w:hAnsi="Lora" w:cs="Times New Roman"/>
        </w:rPr>
        <w:t>such </w:t>
      </w:r>
      <w:r w:rsidRPr="00B74B6B">
        <w:rPr>
          <w:rFonts w:ascii="Lora" w:hAnsi="Lora" w:cs="Times New Roman"/>
        </w:rPr>
        <w:t xml:space="preserve">as dormant mycelium or sclerotia in infected plants and plant debris. The fungus </w:t>
      </w:r>
      <w:r w:rsidRPr="00B74B6B">
        <w:rPr>
          <w:rFonts w:ascii="Lora" w:hAnsi="Lora" w:cs="Times New Roman"/>
        </w:rPr>
        <w:lastRenderedPageBreak/>
        <w:t>infects plants, and symptoms usually develop in spring. Symptoms may begin to fade as the season progresses and summer</w:t>
      </w:r>
      <w:r w:rsidR="004369EE">
        <w:rPr>
          <w:rFonts w:ascii="Lora" w:hAnsi="Lora" w:cs="Times New Roman"/>
        </w:rPr>
        <w:t xml:space="preserve"> temperatures</w:t>
      </w:r>
    </w:p>
    <w:p w14:paraId="274A9407" w14:textId="2C6E38AB" w:rsidR="00B74B6B" w:rsidRDefault="00B74B6B" w:rsidP="00103BB8">
      <w:pPr>
        <w:rPr>
          <w:rFonts w:ascii="Lora" w:hAnsi="Lora" w:cs="Times New Roman"/>
        </w:rPr>
      </w:pPr>
      <w:r w:rsidRPr="00B74B6B">
        <w:rPr>
          <w:rFonts w:ascii="Lora" w:hAnsi="Lora" w:cs="Times New Roman"/>
          <w:noProof/>
        </w:rPr>
        <w:drawing>
          <wp:inline distT="0" distB="0" distL="0" distR="0" wp14:anchorId="1B80C48D" wp14:editId="7982357E">
            <wp:extent cx="3200400" cy="2096770"/>
            <wp:effectExtent l="0" t="0" r="0" b="0"/>
            <wp:docPr id="365382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82055" name=""/>
                    <pic:cNvPicPr/>
                  </pic:nvPicPr>
                  <pic:blipFill>
                    <a:blip r:embed="rId7"/>
                    <a:stretch>
                      <a:fillRect/>
                    </a:stretch>
                  </pic:blipFill>
                  <pic:spPr>
                    <a:xfrm>
                      <a:off x="0" y="0"/>
                      <a:ext cx="3200400" cy="2096770"/>
                    </a:xfrm>
                    <a:prstGeom prst="rect">
                      <a:avLst/>
                    </a:prstGeom>
                  </pic:spPr>
                </pic:pic>
              </a:graphicData>
            </a:graphic>
          </wp:inline>
        </w:drawing>
      </w:r>
    </w:p>
    <w:p w14:paraId="43963E59" w14:textId="76243ED4" w:rsidR="009B5B6B" w:rsidRDefault="009B5B6B" w:rsidP="00103BB8">
      <w:pPr>
        <w:rPr>
          <w:rFonts w:ascii="Lora" w:hAnsi="Lora" w:cs="Times New Roman"/>
          <w:sz w:val="20"/>
          <w:szCs w:val="20"/>
        </w:rPr>
      </w:pPr>
      <w:r w:rsidRPr="009B5B6B">
        <w:rPr>
          <w:rFonts w:ascii="Lora" w:hAnsi="Lora" w:cs="Times New Roman"/>
          <w:sz w:val="20"/>
          <w:szCs w:val="20"/>
        </w:rPr>
        <w:t xml:space="preserve">Figure 2: Ascospores of </w:t>
      </w:r>
      <w:r w:rsidRPr="009B5B6B">
        <w:rPr>
          <w:rFonts w:ascii="Lora" w:hAnsi="Lora" w:cs="Times New Roman"/>
          <w:i/>
          <w:iCs/>
          <w:sz w:val="20"/>
          <w:szCs w:val="20"/>
        </w:rPr>
        <w:t xml:space="preserve">Leptosphaeria </w:t>
      </w:r>
      <w:proofErr w:type="spellStart"/>
      <w:r w:rsidRPr="009B5B6B">
        <w:rPr>
          <w:rFonts w:ascii="Lora" w:hAnsi="Lora" w:cs="Times New Roman"/>
          <w:i/>
          <w:iCs/>
          <w:sz w:val="20"/>
          <w:szCs w:val="20"/>
        </w:rPr>
        <w:t>korrae</w:t>
      </w:r>
      <w:proofErr w:type="spellEnd"/>
      <w:r w:rsidRPr="009B5B6B">
        <w:rPr>
          <w:rFonts w:ascii="Lora" w:hAnsi="Lora" w:cs="Times New Roman"/>
          <w:sz w:val="20"/>
          <w:szCs w:val="20"/>
        </w:rPr>
        <w:t xml:space="preserve"> (provided by Dr. Eric B. Nelson, Cornell University)</w:t>
      </w:r>
    </w:p>
    <w:p w14:paraId="643C2766" w14:textId="53392B36" w:rsidR="009B5B6B" w:rsidRPr="004369EE" w:rsidRDefault="004369EE" w:rsidP="00103BB8">
      <w:pPr>
        <w:rPr>
          <w:rFonts w:ascii="Lora" w:hAnsi="Lora" w:cs="Times New Roman"/>
        </w:rPr>
      </w:pPr>
      <w:r w:rsidRPr="004369EE">
        <w:rPr>
          <w:rFonts w:ascii="Lora" w:hAnsi="Lora" w:cs="Times New Roman"/>
        </w:rPr>
        <w:t>rise above 86°F and the fungus become</w:t>
      </w:r>
      <w:r w:rsidR="00A06EE8">
        <w:rPr>
          <w:rFonts w:ascii="Lora" w:hAnsi="Lora" w:cs="Times New Roman"/>
        </w:rPr>
        <w:t>s</w:t>
      </w:r>
      <w:r w:rsidRPr="004369EE">
        <w:rPr>
          <w:rFonts w:ascii="Lora" w:hAnsi="Lora" w:cs="Times New Roman"/>
        </w:rPr>
        <w:t xml:space="preserve"> dormant. However, as summer heat increases symptoms may again become apparent as the stress on the turf increases, even though the fungus may not be active. Symptoms may also reappear as the fungus becomes active again in early autumn. T</w:t>
      </w:r>
      <w:r w:rsidR="00A06EE8">
        <w:rPr>
          <w:rFonts w:ascii="Lora" w:hAnsi="Lora" w:cs="Times New Roman"/>
        </w:rPr>
        <w:t>h</w:t>
      </w:r>
      <w:r w:rsidRPr="004369EE">
        <w:rPr>
          <w:rFonts w:ascii="Lora" w:hAnsi="Lora" w:cs="Times New Roman"/>
        </w:rPr>
        <w:t>e pathogen may be spread through infected turf and mechanical equipment.</w:t>
      </w:r>
    </w:p>
    <w:p w14:paraId="665FF87A" w14:textId="760BB265" w:rsidR="00E6192C" w:rsidRPr="00103BB8" w:rsidRDefault="00712DAC" w:rsidP="00103BB8">
      <w:pPr>
        <w:spacing w:after="120"/>
        <w:rPr>
          <w:rFonts w:ascii="Work Sans" w:hAnsi="Work Sans"/>
          <w:b/>
          <w:color w:val="000000"/>
          <w:sz w:val="28"/>
          <w:szCs w:val="28"/>
        </w:rPr>
      </w:pPr>
      <w:r w:rsidRPr="00117CDE">
        <w:rPr>
          <w:rFonts w:ascii="Work Sans" w:hAnsi="Work Sans"/>
          <w:b/>
          <w:color w:val="000000"/>
          <w:sz w:val="28"/>
          <w:szCs w:val="28"/>
        </w:rPr>
        <w:t>Management Strategies</w:t>
      </w:r>
      <w:r w:rsidR="009D7FC0" w:rsidRPr="009D7FC0">
        <w:rPr>
          <w:rFonts w:ascii="Lora" w:hAnsi="Lora" w:cs="Times New Roman"/>
        </w:rPr>
        <w:t xml:space="preserve"> </w:t>
      </w:r>
    </w:p>
    <w:p w14:paraId="71148675" w14:textId="77777777" w:rsidR="002A21D6" w:rsidRDefault="00113703" w:rsidP="00A06EE8">
      <w:pPr>
        <w:rPr>
          <w:rFonts w:ascii="Lora" w:hAnsi="Lora" w:cs="Times New Roman"/>
        </w:rPr>
      </w:pPr>
      <w:r w:rsidRPr="00113703">
        <w:rPr>
          <w:rFonts w:ascii="Lora" w:hAnsi="Lora" w:cs="Times New Roman"/>
        </w:rPr>
        <w:t>Various stresses may contribute to the development of this disease or may increase the severity of symptoms. T</w:t>
      </w:r>
      <w:r>
        <w:rPr>
          <w:rFonts w:ascii="Lora" w:hAnsi="Lora" w:cs="Times New Roman"/>
        </w:rPr>
        <w:t>h</w:t>
      </w:r>
      <w:r w:rsidRPr="00113703">
        <w:rPr>
          <w:rFonts w:ascii="Lora" w:hAnsi="Lora" w:cs="Times New Roman"/>
        </w:rPr>
        <w:t xml:space="preserve">ese include the presence of excessive thatch, nutrient imbalances, or excessive nitrogen fertilizer applications or incorrect timing of fertilizer applications that stimulate rapid growth.  Low mowing height, soil compaction, and low soil pH may also contribute to disease development, while a high turf canopy temperature may increase symptoms on stressed plants. Many of these stresses can be reduced through appropriate cultural practices as described below. </w:t>
      </w:r>
    </w:p>
    <w:p w14:paraId="061835C2" w14:textId="534A039C" w:rsidR="00A06EE8" w:rsidRDefault="00113703" w:rsidP="00A06EE8">
      <w:pPr>
        <w:rPr>
          <w:rFonts w:ascii="Lora" w:hAnsi="Lora" w:cs="Times New Roman"/>
        </w:rPr>
      </w:pPr>
      <w:r w:rsidRPr="00113703">
        <w:rPr>
          <w:rFonts w:ascii="Lora" w:hAnsi="Lora" w:cs="Times New Roman"/>
        </w:rPr>
        <w:t>Correct excess soil acidity by liming annually to maintain a pH above 6.2. For most bluegrass lawns, two to f</w:t>
      </w:r>
      <w:r>
        <w:rPr>
          <w:rFonts w:ascii="Lora" w:hAnsi="Lora" w:cs="Times New Roman"/>
        </w:rPr>
        <w:t>i</w:t>
      </w:r>
      <w:r w:rsidRPr="00113703">
        <w:rPr>
          <w:rFonts w:ascii="Lora" w:hAnsi="Lora" w:cs="Times New Roman"/>
        </w:rPr>
        <w:t>ve lbs. of nitrogen/1000 sq. ft. is suf</w:t>
      </w:r>
      <w:r>
        <w:rPr>
          <w:rFonts w:ascii="Lora" w:hAnsi="Lora" w:cs="Times New Roman"/>
        </w:rPr>
        <w:t>fi</w:t>
      </w:r>
      <w:r w:rsidRPr="00113703">
        <w:rPr>
          <w:rFonts w:ascii="Lora" w:hAnsi="Lora" w:cs="Times New Roman"/>
        </w:rPr>
        <w:t xml:space="preserve">cient, but if you do not typically fertilize, it is </w:t>
      </w:r>
      <w:r w:rsidRPr="00113703">
        <w:rPr>
          <w:rFonts w:ascii="Lora" w:hAnsi="Lora" w:cs="Times New Roman"/>
        </w:rPr>
        <w:t>important to get your soil tested to obtain a specif</w:t>
      </w:r>
      <w:r>
        <w:rPr>
          <w:rFonts w:ascii="Lora" w:hAnsi="Lora" w:cs="Times New Roman"/>
        </w:rPr>
        <w:t>i</w:t>
      </w:r>
      <w:r w:rsidRPr="00113703">
        <w:rPr>
          <w:rFonts w:ascii="Lora" w:hAnsi="Lora" w:cs="Times New Roman"/>
        </w:rPr>
        <w:t>c recommendation for your site. Apply a fertilizer balanced by phosphorus and potassium. Do not apply even small amounts of fertilizer during the June th</w:t>
      </w:r>
      <w:r>
        <w:rPr>
          <w:rFonts w:ascii="Lora" w:hAnsi="Lora" w:cs="Times New Roman"/>
        </w:rPr>
        <w:t>r</w:t>
      </w:r>
      <w:r w:rsidRPr="00113703">
        <w:rPr>
          <w:rFonts w:ascii="Lora" w:hAnsi="Lora" w:cs="Times New Roman"/>
        </w:rPr>
        <w:t>ough August stress period. Fertilize only in autumn (September through November) and in late spring</w:t>
      </w:r>
      <w:r w:rsidR="002A21D6">
        <w:rPr>
          <w:rFonts w:ascii="Lora" w:hAnsi="Lora" w:cs="Times New Roman"/>
        </w:rPr>
        <w:t xml:space="preserve"> </w:t>
      </w:r>
      <w:r w:rsidR="002A21D6" w:rsidRPr="002A21D6">
        <w:rPr>
          <w:rFonts w:ascii="Lora" w:hAnsi="Lora" w:cs="Times New Roman"/>
        </w:rPr>
        <w:t>(May) and use a slow</w:t>
      </w:r>
      <w:r w:rsidR="002A21D6">
        <w:rPr>
          <w:rFonts w:ascii="Lora" w:hAnsi="Lora" w:cs="Times New Roman"/>
        </w:rPr>
        <w:t>-</w:t>
      </w:r>
      <w:r w:rsidR="002A21D6" w:rsidRPr="002A21D6">
        <w:rPr>
          <w:rFonts w:ascii="Lora" w:hAnsi="Lora" w:cs="Times New Roman"/>
        </w:rPr>
        <w:t>release fertilizer to allow Nitrogen to be released over a longer period.</w:t>
      </w:r>
    </w:p>
    <w:p w14:paraId="7AA305F2" w14:textId="3197F90A" w:rsidR="002A21D6" w:rsidRDefault="002A21D6" w:rsidP="00A06EE8">
      <w:pPr>
        <w:rPr>
          <w:rFonts w:ascii="Lora" w:hAnsi="Lora" w:cs="Times New Roman"/>
        </w:rPr>
      </w:pPr>
      <w:r w:rsidRPr="002A21D6">
        <w:rPr>
          <w:rFonts w:ascii="Lora" w:hAnsi="Lora" w:cs="Times New Roman"/>
        </w:rPr>
        <w:t>Although deep watering is essential for proper root growth, frequent irrigation is not usually recommended. In this case, however, it may be helpful under certain circumstances. To minimize drought stress, water the soil under disease-prone areas to a depth of 15 to 20 cm every 7-10 days during dry periods in the summer. Soaker hoses are very useful for supplemental watering of steeper slopes where other sprinklers are inefficient. During periods of excessively high temperature, plants with injured root and crown tissue may be under increased stress so frequent application, i.e. a light sprinkling of the surface at mid-day, may help to minimize the harmful effects of excessive temperature on the stressed turf.</w:t>
      </w:r>
    </w:p>
    <w:p w14:paraId="6C009028" w14:textId="77777777" w:rsidR="003C2D8B" w:rsidRDefault="003C2D8B" w:rsidP="00A06EE8">
      <w:pPr>
        <w:rPr>
          <w:rFonts w:ascii="Lora" w:hAnsi="Lora" w:cs="Times New Roman"/>
        </w:rPr>
      </w:pPr>
      <w:r w:rsidRPr="003C2D8B">
        <w:rPr>
          <w:rFonts w:ascii="Lora" w:hAnsi="Lora" w:cs="Times New Roman"/>
        </w:rPr>
        <w:t xml:space="preserve">Proneness to disease in turf is increased as the cutting height is decreased. Cut lawns at 6 to 9 cm height and do so often enough that less than 1/3 of the leaf blade is removed during each mowing. </w:t>
      </w:r>
    </w:p>
    <w:p w14:paraId="40F62531" w14:textId="4E8A9C83" w:rsidR="002A21D6" w:rsidRDefault="003C2D8B" w:rsidP="00A06EE8">
      <w:pPr>
        <w:rPr>
          <w:rFonts w:ascii="Lora" w:hAnsi="Lora" w:cs="Times New Roman"/>
        </w:rPr>
      </w:pPr>
      <w:r w:rsidRPr="003C2D8B">
        <w:rPr>
          <w:rFonts w:ascii="Lora" w:hAnsi="Lora" w:cs="Times New Roman"/>
        </w:rPr>
        <w:t xml:space="preserve">Tatch (the layer of organic matter between the mineral soil and the green grass) should be no more than 2 cm in thickness. Tatch can be removed by vertical slicing machines and/or aeration during the spring and early fall. Over a longer </w:t>
      </w:r>
      <w:r w:rsidR="000271C1" w:rsidRPr="003C2D8B">
        <w:rPr>
          <w:rFonts w:ascii="Lora" w:hAnsi="Lora" w:cs="Times New Roman"/>
        </w:rPr>
        <w:t>period,</w:t>
      </w:r>
      <w:r w:rsidRPr="003C2D8B">
        <w:rPr>
          <w:rFonts w:ascii="Lora" w:hAnsi="Lora" w:cs="Times New Roman"/>
        </w:rPr>
        <w:t xml:space="preserve"> thatch will be reduced by using the other cultural practices discussed above.</w:t>
      </w:r>
    </w:p>
    <w:p w14:paraId="7EAE46CE" w14:textId="5B1951B0" w:rsidR="00112785" w:rsidRDefault="00112785" w:rsidP="00A06EE8">
      <w:pPr>
        <w:rPr>
          <w:rFonts w:ascii="Lora" w:hAnsi="Lora" w:cs="Times New Roman"/>
        </w:rPr>
      </w:pPr>
      <w:r w:rsidRPr="00112785">
        <w:rPr>
          <w:rFonts w:ascii="Lora" w:hAnsi="Lora" w:cs="Times New Roman"/>
        </w:rPr>
        <w:t xml:space="preserve">Kentucky bluegrass cultivars such as </w:t>
      </w:r>
      <w:r w:rsidRPr="00112785">
        <w:rPr>
          <w:rFonts w:ascii="Lora" w:hAnsi="Lora" w:cs="Times New Roman"/>
          <w:i/>
          <w:iCs/>
        </w:rPr>
        <w:t xml:space="preserve">Adelphi, America, Aspen, Columbia, Eclipse, Glade, Midnight, Nassau, Parade, Ram I, </w:t>
      </w:r>
      <w:proofErr w:type="spellStart"/>
      <w:r w:rsidRPr="00112785">
        <w:rPr>
          <w:rFonts w:ascii="Lora" w:hAnsi="Lora" w:cs="Times New Roman"/>
          <w:i/>
          <w:iCs/>
        </w:rPr>
        <w:t>Sydsport</w:t>
      </w:r>
      <w:proofErr w:type="spellEnd"/>
      <w:r w:rsidRPr="00112785">
        <w:rPr>
          <w:rFonts w:ascii="Lora" w:hAnsi="Lora" w:cs="Times New Roman"/>
          <w:i/>
          <w:iCs/>
        </w:rPr>
        <w:t xml:space="preserve">, Touchdown, Vantage, Windsor, </w:t>
      </w:r>
      <w:r w:rsidRPr="00112785">
        <w:rPr>
          <w:rFonts w:ascii="Lora" w:hAnsi="Lora" w:cs="Times New Roman"/>
        </w:rPr>
        <w:t xml:space="preserve">and </w:t>
      </w:r>
      <w:r w:rsidRPr="00112785">
        <w:rPr>
          <w:rFonts w:ascii="Lora" w:hAnsi="Lora" w:cs="Times New Roman"/>
          <w:i/>
          <w:iCs/>
        </w:rPr>
        <w:t>Victa</w:t>
      </w:r>
      <w:r w:rsidRPr="00112785">
        <w:rPr>
          <w:rFonts w:ascii="Lora" w:hAnsi="Lora" w:cs="Times New Roman"/>
        </w:rPr>
        <w:t xml:space="preserve"> have been determined to be less susceptible to Necrotic Ring Spot than others. Blend seed of a resistant cultivar with that of one or more otherwise desirable cultivars. Blending 10-15% </w:t>
      </w:r>
      <w:r w:rsidRPr="00112785">
        <w:rPr>
          <w:rFonts w:ascii="Lora" w:hAnsi="Lora" w:cs="Times New Roman"/>
        </w:rPr>
        <w:lastRenderedPageBreak/>
        <w:t>(by weight) of perennial ryegrass seed into bluegrass seed will prevent this disease from occurring. Ryegrass can also be seeded into existing lawns.</w:t>
      </w:r>
    </w:p>
    <w:p w14:paraId="473E9F83" w14:textId="42A3D23E" w:rsidR="004E73DE" w:rsidRDefault="00112785" w:rsidP="00A06EE8">
      <w:pPr>
        <w:rPr>
          <w:rFonts w:ascii="Lora" w:hAnsi="Lora" w:cs="Times New Roman"/>
        </w:rPr>
      </w:pPr>
      <w:r w:rsidRPr="00112785">
        <w:rPr>
          <w:rFonts w:ascii="Lora" w:hAnsi="Lora" w:cs="Times New Roman"/>
        </w:rPr>
        <w:t>Chemical treatment is ef</w:t>
      </w:r>
      <w:r w:rsidR="004E73DE">
        <w:rPr>
          <w:rFonts w:ascii="Lora" w:hAnsi="Lora" w:cs="Times New Roman"/>
        </w:rPr>
        <w:t>fi</w:t>
      </w:r>
      <w:r w:rsidRPr="00112785">
        <w:rPr>
          <w:rFonts w:ascii="Lora" w:hAnsi="Lora" w:cs="Times New Roman"/>
        </w:rPr>
        <w:t xml:space="preserve">cient only when the previously mentioned cultural practices </w:t>
      </w:r>
      <w:r w:rsidR="004E73DE">
        <w:rPr>
          <w:rFonts w:ascii="Lora" w:hAnsi="Lora" w:cs="Times New Roman"/>
        </w:rPr>
        <w:t>a</w:t>
      </w:r>
      <w:r w:rsidRPr="00112785">
        <w:rPr>
          <w:rFonts w:ascii="Lora" w:hAnsi="Lora" w:cs="Times New Roman"/>
        </w:rPr>
        <w:t>re f</w:t>
      </w:r>
      <w:r w:rsidR="004E73DE">
        <w:rPr>
          <w:rFonts w:ascii="Lora" w:hAnsi="Lora" w:cs="Times New Roman"/>
        </w:rPr>
        <w:t>i</w:t>
      </w:r>
      <w:r w:rsidRPr="00112785">
        <w:rPr>
          <w:rFonts w:ascii="Lora" w:hAnsi="Lora" w:cs="Times New Roman"/>
        </w:rPr>
        <w:t>rst used. Furthermore, applications must be made before the crown rot develops suf</w:t>
      </w:r>
      <w:r w:rsidR="004E73DE">
        <w:rPr>
          <w:rFonts w:ascii="Lora" w:hAnsi="Lora" w:cs="Times New Roman"/>
        </w:rPr>
        <w:t>fi</w:t>
      </w:r>
      <w:r w:rsidRPr="00112785">
        <w:rPr>
          <w:rFonts w:ascii="Lora" w:hAnsi="Lora" w:cs="Times New Roman"/>
        </w:rPr>
        <w:t xml:space="preserve">ciently to cause visual symptoms of the disease. For homeowners in New York, several fungicides may be registered to aid in disease management. For a list of some products that may help to manage this issue please see our turf fungicide table. Be certain any formulation of pesticide you </w:t>
      </w:r>
      <w:r w:rsidRPr="00112785">
        <w:rPr>
          <w:rFonts w:ascii="Lora" w:hAnsi="Lora" w:cs="Times New Roman"/>
        </w:rPr>
        <w:t xml:space="preserve">purchase is registered for the intended </w:t>
      </w:r>
      <w:r w:rsidR="004E73DE" w:rsidRPr="00112785">
        <w:rPr>
          <w:rFonts w:ascii="Lora" w:hAnsi="Lora" w:cs="Times New Roman"/>
        </w:rPr>
        <w:t>use and</w:t>
      </w:r>
      <w:r w:rsidRPr="00112785">
        <w:rPr>
          <w:rFonts w:ascii="Lora" w:hAnsi="Lora" w:cs="Times New Roman"/>
        </w:rPr>
        <w:t xml:space="preserve"> follow the label instructions. T</w:t>
      </w:r>
      <w:r w:rsidR="004E73DE">
        <w:rPr>
          <w:rFonts w:ascii="Lora" w:hAnsi="Lora" w:cs="Times New Roman"/>
        </w:rPr>
        <w:t>h</w:t>
      </w:r>
      <w:r w:rsidRPr="00112785">
        <w:rPr>
          <w:rFonts w:ascii="Lora" w:hAnsi="Lora" w:cs="Times New Roman"/>
        </w:rPr>
        <w:t xml:space="preserve">e label also contains information on how to apply the fungicide as well as any precautions. </w:t>
      </w:r>
    </w:p>
    <w:p w14:paraId="308343EB" w14:textId="37CF40B5" w:rsidR="0013026F" w:rsidRDefault="00112785" w:rsidP="00873866">
      <w:pPr>
        <w:rPr>
          <w:rFonts w:ascii="Lora" w:hAnsi="Lora" w:cs="Times New Roman"/>
        </w:rPr>
        <w:sectPr w:rsidR="0013026F" w:rsidSect="00437088">
          <w:type w:val="continuous"/>
          <w:pgSz w:w="12240" w:h="15840"/>
          <w:pgMar w:top="720" w:right="720" w:bottom="720" w:left="720" w:header="720" w:footer="720" w:gutter="0"/>
          <w:cols w:num="2" w:space="720"/>
          <w:docGrid w:linePitch="360"/>
        </w:sectPr>
      </w:pPr>
      <w:r w:rsidRPr="00112785">
        <w:rPr>
          <w:rFonts w:ascii="Lora" w:hAnsi="Lora" w:cs="Times New Roman"/>
        </w:rPr>
        <w:t>T</w:t>
      </w:r>
      <w:r w:rsidR="004E73DE">
        <w:rPr>
          <w:rFonts w:ascii="Lora" w:hAnsi="Lora" w:cs="Times New Roman"/>
        </w:rPr>
        <w:t>h</w:t>
      </w:r>
      <w:r w:rsidRPr="00112785">
        <w:rPr>
          <w:rFonts w:ascii="Lora" w:hAnsi="Lora" w:cs="Times New Roman"/>
        </w:rPr>
        <w:t xml:space="preserve">oroughly water areas with a history of this disease (applying 2 to 3 cm of water) several days before applying the fungicide, and then follow label directions. Additional pesticides may be available for commercial turf applications. Commercial applications should refer to the appropriate pest management </w:t>
      </w:r>
      <w:r w:rsidR="00076E28" w:rsidRPr="00112785">
        <w:rPr>
          <w:rFonts w:ascii="Lora" w:hAnsi="Lora" w:cs="Times New Roman"/>
        </w:rPr>
        <w:t>guidelines or</w:t>
      </w:r>
      <w:r w:rsidRPr="00112785">
        <w:rPr>
          <w:rFonts w:ascii="Lora" w:hAnsi="Lora" w:cs="Times New Roman"/>
        </w:rPr>
        <w:t xml:space="preserve"> contact their local Cooperative Extension Of</w:t>
      </w:r>
      <w:r w:rsidR="004E73DE">
        <w:rPr>
          <w:rFonts w:ascii="Lora" w:hAnsi="Lora" w:cs="Times New Roman"/>
        </w:rPr>
        <w:t>fi</w:t>
      </w:r>
      <w:r w:rsidRPr="00112785">
        <w:rPr>
          <w:rFonts w:ascii="Lora" w:hAnsi="Lora" w:cs="Times New Roman"/>
        </w:rPr>
        <w:t>ce for more information on currently registered products.</w:t>
      </w:r>
    </w:p>
    <w:p w14:paraId="54E3478F" w14:textId="77777777" w:rsidR="00103BB8" w:rsidRDefault="00103BB8" w:rsidP="00724758">
      <w:pPr>
        <w:pStyle w:val="NormalWeb"/>
        <w:spacing w:after="120" w:afterAutospacing="0"/>
        <w:rPr>
          <w:rFonts w:ascii="Work Sans" w:hAnsi="Work Sans"/>
          <w:b/>
          <w:color w:val="000000"/>
          <w:sz w:val="28"/>
          <w:szCs w:val="28"/>
        </w:rPr>
      </w:pPr>
    </w:p>
    <w:p w14:paraId="70136951" w14:textId="4AE3BC13" w:rsidR="004E73DE" w:rsidRDefault="004E73DE" w:rsidP="00724758">
      <w:pPr>
        <w:pStyle w:val="NormalWeb"/>
        <w:spacing w:after="120" w:afterAutospacing="0"/>
        <w:rPr>
          <w:rFonts w:ascii="Work Sans" w:hAnsi="Work Sans"/>
          <w:b/>
          <w:color w:val="000000"/>
          <w:sz w:val="28"/>
          <w:szCs w:val="28"/>
        </w:rPr>
      </w:pPr>
      <w:r>
        <w:rPr>
          <w:rFonts w:ascii="Work Sans" w:hAnsi="Work Sans"/>
          <w:b/>
          <w:color w:val="000000"/>
          <w:sz w:val="28"/>
          <w:szCs w:val="28"/>
        </w:rPr>
        <w:t>Reference:</w:t>
      </w:r>
    </w:p>
    <w:p w14:paraId="5DDCAAAB" w14:textId="77777777" w:rsidR="002A611A" w:rsidRDefault="002A611A" w:rsidP="002A611A">
      <w:pPr>
        <w:rPr>
          <w:rFonts w:ascii="Lora" w:hAnsi="Lora" w:cs="Times New Roman"/>
        </w:rPr>
      </w:pPr>
      <w:r w:rsidRPr="002A611A">
        <w:rPr>
          <w:rFonts w:ascii="Lora" w:hAnsi="Lora" w:cs="Times New Roman"/>
          <w:i/>
          <w:iCs/>
        </w:rPr>
        <w:t>Compendium of Turfgrass Diseases</w:t>
      </w:r>
      <w:r w:rsidRPr="002A611A">
        <w:rPr>
          <w:rFonts w:ascii="Lora" w:hAnsi="Lora" w:cs="Times New Roman"/>
        </w:rPr>
        <w:t xml:space="preserve">, Third Edition, 2005. R.W. Smiley, P.H. </w:t>
      </w:r>
      <w:proofErr w:type="spellStart"/>
      <w:r w:rsidRPr="002A611A">
        <w:rPr>
          <w:rFonts w:ascii="Lora" w:hAnsi="Lora" w:cs="Times New Roman"/>
        </w:rPr>
        <w:t>Dernoeden</w:t>
      </w:r>
      <w:proofErr w:type="spellEnd"/>
      <w:r w:rsidRPr="002A611A">
        <w:rPr>
          <w:rFonts w:ascii="Lora" w:hAnsi="Lora" w:cs="Times New Roman"/>
        </w:rPr>
        <w:t xml:space="preserve"> and B.B. Clarke. APS Press</w:t>
      </w:r>
    </w:p>
    <w:p w14:paraId="09E78786" w14:textId="6844387D" w:rsidR="00982A07" w:rsidRPr="00DD343C" w:rsidRDefault="00086928" w:rsidP="002A611A">
      <w:pPr>
        <w:rPr>
          <w:rFonts w:ascii="Lora" w:hAnsi="Lora"/>
          <w:bCs/>
          <w:color w:val="000000"/>
        </w:rPr>
      </w:pPr>
      <w:r w:rsidRPr="00FB0F94">
        <w:rPr>
          <w:rFonts w:ascii="Work Sans" w:hAnsi="Work Sans"/>
          <w:b/>
          <w:color w:val="000000"/>
          <w:sz w:val="28"/>
          <w:szCs w:val="28"/>
        </w:rPr>
        <w:t>Prepared by</w:t>
      </w:r>
      <w:r w:rsidRPr="00724758">
        <w:rPr>
          <w:rFonts w:ascii="Lora" w:hAnsi="Lora"/>
          <w:b/>
          <w:color w:val="000000"/>
        </w:rPr>
        <w:t xml:space="preserve"> </w:t>
      </w:r>
      <w:r w:rsidR="00076E28" w:rsidRPr="001C2D33">
        <w:rPr>
          <w:rFonts w:ascii="Lora" w:hAnsi="Lora"/>
          <w:bCs/>
          <w:color w:val="000000"/>
        </w:rPr>
        <w:t>Clinic staff;</w:t>
      </w:r>
      <w:r w:rsidR="00076E28">
        <w:rPr>
          <w:rFonts w:ascii="Lora" w:hAnsi="Lora"/>
          <w:b/>
          <w:color w:val="000000"/>
        </w:rPr>
        <w:t xml:space="preserve"> </w:t>
      </w:r>
      <w:r w:rsidR="00D05528" w:rsidRPr="00D05528">
        <w:rPr>
          <w:rFonts w:ascii="Lora" w:hAnsi="Lora"/>
          <w:bCs/>
          <w:color w:val="000000"/>
        </w:rPr>
        <w:t xml:space="preserve">Updated </w:t>
      </w:r>
      <w:r w:rsidR="00076E28">
        <w:rPr>
          <w:rFonts w:ascii="Lora" w:hAnsi="Lora"/>
          <w:bCs/>
          <w:color w:val="000000"/>
        </w:rPr>
        <w:t xml:space="preserve">by </w:t>
      </w:r>
      <w:r w:rsidR="00D05528" w:rsidRPr="00D05528">
        <w:rPr>
          <w:rFonts w:ascii="Lora" w:hAnsi="Lora"/>
          <w:bCs/>
          <w:color w:val="000000"/>
        </w:rPr>
        <w:t>SLJ</w:t>
      </w:r>
      <w:r w:rsidR="00076E28">
        <w:rPr>
          <w:rFonts w:ascii="Lora" w:hAnsi="Lora"/>
          <w:bCs/>
          <w:color w:val="000000"/>
        </w:rPr>
        <w:t>2 &amp; LG658, December 2024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21689539" w:rsidR="00117CDE" w:rsidRDefault="00982A07" w:rsidP="00982A07">
      <w:pPr>
        <w:spacing w:after="0"/>
        <w:rPr>
          <w:rFonts w:ascii="Lora" w:hAnsi="Lora"/>
          <w:color w:val="000000"/>
        </w:rPr>
      </w:pPr>
      <w:r w:rsidRPr="00117CDE">
        <w:rPr>
          <w:rFonts w:ascii="Lora" w:hAnsi="Lora"/>
          <w:color w:val="000000"/>
        </w:rPr>
        <w:t xml:space="preserve">Email: </w:t>
      </w:r>
      <w:bookmarkStart w:id="1" w:name="_Hlk162533176"/>
      <w:r w:rsidR="00076E28">
        <w:rPr>
          <w:rFonts w:ascii="Lora" w:hAnsi="Lora"/>
          <w:color w:val="000000"/>
        </w:rPr>
        <w:fldChar w:fldCharType="begin"/>
      </w:r>
      <w:r w:rsidR="00076E28">
        <w:rPr>
          <w:rFonts w:ascii="Lora" w:hAnsi="Lora"/>
          <w:color w:val="000000"/>
        </w:rPr>
        <w:instrText>HYPERLINK "mailto:</w:instrText>
      </w:r>
      <w:r w:rsidR="00076E28" w:rsidRPr="00076E28">
        <w:rPr>
          <w:rFonts w:ascii="Lora" w:hAnsi="Lora"/>
          <w:color w:val="000000"/>
        </w:rPr>
        <w:instrText>Cornell-plantdiseaseclinic@cornell.edu</w:instrText>
      </w:r>
      <w:r w:rsidR="00076E28">
        <w:rPr>
          <w:rFonts w:ascii="Lora" w:hAnsi="Lora"/>
          <w:color w:val="000000"/>
        </w:rPr>
        <w:instrText>"</w:instrText>
      </w:r>
      <w:r w:rsidR="00076E28">
        <w:rPr>
          <w:rFonts w:ascii="Lora" w:hAnsi="Lora"/>
          <w:color w:val="000000"/>
        </w:rPr>
      </w:r>
      <w:r w:rsidR="00076E28">
        <w:rPr>
          <w:rFonts w:ascii="Lora" w:hAnsi="Lora"/>
          <w:color w:val="000000"/>
        </w:rPr>
        <w:fldChar w:fldCharType="separate"/>
      </w:r>
      <w:r w:rsidR="00076E28" w:rsidRPr="000764AF">
        <w:rPr>
          <w:rStyle w:val="Hyperlink"/>
          <w:rFonts w:ascii="Lora" w:hAnsi="Lora"/>
        </w:rPr>
        <w:t>Cornell-plantdiseaseclinic@cornell.edu</w:t>
      </w:r>
      <w:bookmarkEnd w:id="1"/>
      <w:r w:rsidR="00076E28">
        <w:rPr>
          <w:rFonts w:ascii="Lora" w:hAnsi="Lora"/>
          <w:color w:val="000000"/>
        </w:rPr>
        <w:fldChar w:fldCharType="end"/>
      </w:r>
    </w:p>
    <w:p w14:paraId="5BFCA701" w14:textId="08FB5FCB" w:rsidR="00A62DA2" w:rsidRPr="003D7E09" w:rsidRDefault="00982A07" w:rsidP="003D7E09">
      <w:pPr>
        <w:spacing w:after="0"/>
        <w:rPr>
          <w:rFonts w:ascii="Lora" w:hAnsi="Lora"/>
          <w:color w:val="000000"/>
        </w:rPr>
        <w:sectPr w:rsidR="00A62DA2" w:rsidRPr="003D7E09" w:rsidSect="00437088">
          <w:type w:val="continuous"/>
          <w:pgSz w:w="12240" w:h="15840"/>
          <w:pgMar w:top="720" w:right="720" w:bottom="720" w:left="720" w:header="720" w:footer="720" w:gutter="0"/>
          <w:cols w:space="720"/>
          <w:docGrid w:linePitch="360"/>
        </w:sectPr>
      </w:pPr>
      <w:r w:rsidRPr="00117CDE">
        <w:rPr>
          <w:rFonts w:ascii="Lora" w:hAnsi="Lora"/>
          <w:color w:val="000000"/>
        </w:rPr>
        <w:t xml:space="preserve">Web: </w:t>
      </w:r>
      <w:hyperlink r:id="rId8" w:history="1">
        <w:r w:rsidRPr="00A62DA2">
          <w:rPr>
            <w:rStyle w:val="Hyperlink"/>
            <w:rFonts w:ascii="Lora" w:hAnsi="Lora"/>
          </w:rPr>
          <w:t>plantclinic.cornell.ed</w:t>
        </w:r>
        <w:r w:rsidR="00117CDE" w:rsidRPr="00A62DA2">
          <w:rPr>
            <w:rStyle w:val="Hyperlink"/>
            <w:rFonts w:ascii="Lora" w:hAnsi="Lora"/>
          </w:rPr>
          <w:t>u</w:t>
        </w:r>
      </w:hyperlink>
      <w:bookmarkEnd w:id="0"/>
    </w:p>
    <w:p w14:paraId="073E9F93" w14:textId="42587105" w:rsidR="00DD02DC" w:rsidRPr="00712DAC" w:rsidRDefault="00DD02DC" w:rsidP="003D7E09">
      <w:pPr>
        <w:rPr>
          <w:rFonts w:ascii="Work Sans" w:hAnsi="Work Sans"/>
          <w:sz w:val="36"/>
          <w:szCs w:val="36"/>
        </w:rPr>
      </w:pPr>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 w:name="AGaramon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21540">
    <w:abstractNumId w:val="1"/>
  </w:num>
  <w:num w:numId="2" w16cid:durableId="20967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6BD9"/>
    <w:rsid w:val="00015D46"/>
    <w:rsid w:val="00017DA2"/>
    <w:rsid w:val="000271C1"/>
    <w:rsid w:val="00042607"/>
    <w:rsid w:val="00050B67"/>
    <w:rsid w:val="00076E28"/>
    <w:rsid w:val="000868DA"/>
    <w:rsid w:val="00086928"/>
    <w:rsid w:val="00087E95"/>
    <w:rsid w:val="00094B24"/>
    <w:rsid w:val="000A02AC"/>
    <w:rsid w:val="000C3797"/>
    <w:rsid w:val="000D64CA"/>
    <w:rsid w:val="000F06D2"/>
    <w:rsid w:val="000F6ED8"/>
    <w:rsid w:val="00103BB8"/>
    <w:rsid w:val="00103E6D"/>
    <w:rsid w:val="00112785"/>
    <w:rsid w:val="00113703"/>
    <w:rsid w:val="00117CDE"/>
    <w:rsid w:val="0013026F"/>
    <w:rsid w:val="00140AB7"/>
    <w:rsid w:val="00141E2E"/>
    <w:rsid w:val="001433B4"/>
    <w:rsid w:val="00145899"/>
    <w:rsid w:val="00157DD3"/>
    <w:rsid w:val="0016552F"/>
    <w:rsid w:val="00193051"/>
    <w:rsid w:val="001A1913"/>
    <w:rsid w:val="001A1A8C"/>
    <w:rsid w:val="001A1F5E"/>
    <w:rsid w:val="001A4486"/>
    <w:rsid w:val="001B6921"/>
    <w:rsid w:val="001C2D33"/>
    <w:rsid w:val="001D174A"/>
    <w:rsid w:val="001D3320"/>
    <w:rsid w:val="001E4BDD"/>
    <w:rsid w:val="001F00C6"/>
    <w:rsid w:val="0020644D"/>
    <w:rsid w:val="00223CCE"/>
    <w:rsid w:val="0022664F"/>
    <w:rsid w:val="00232B42"/>
    <w:rsid w:val="002351F3"/>
    <w:rsid w:val="002428A1"/>
    <w:rsid w:val="00245CF4"/>
    <w:rsid w:val="00273397"/>
    <w:rsid w:val="00297543"/>
    <w:rsid w:val="002A21D6"/>
    <w:rsid w:val="002A611A"/>
    <w:rsid w:val="002A788C"/>
    <w:rsid w:val="002C628B"/>
    <w:rsid w:val="002D4FF3"/>
    <w:rsid w:val="00311275"/>
    <w:rsid w:val="00320FFA"/>
    <w:rsid w:val="0033518B"/>
    <w:rsid w:val="0033776F"/>
    <w:rsid w:val="003621F8"/>
    <w:rsid w:val="00365D0E"/>
    <w:rsid w:val="00380C3D"/>
    <w:rsid w:val="00383002"/>
    <w:rsid w:val="00384F40"/>
    <w:rsid w:val="003A13E3"/>
    <w:rsid w:val="003A5282"/>
    <w:rsid w:val="003B754B"/>
    <w:rsid w:val="003C03A6"/>
    <w:rsid w:val="003C2D8B"/>
    <w:rsid w:val="003C4E17"/>
    <w:rsid w:val="003D6C2B"/>
    <w:rsid w:val="003D7E09"/>
    <w:rsid w:val="003E031D"/>
    <w:rsid w:val="003F7809"/>
    <w:rsid w:val="00402DCE"/>
    <w:rsid w:val="00406860"/>
    <w:rsid w:val="00416EDA"/>
    <w:rsid w:val="00421984"/>
    <w:rsid w:val="0042353D"/>
    <w:rsid w:val="004369EE"/>
    <w:rsid w:val="00437088"/>
    <w:rsid w:val="004474E1"/>
    <w:rsid w:val="00466E05"/>
    <w:rsid w:val="00470C2F"/>
    <w:rsid w:val="00473CFB"/>
    <w:rsid w:val="0047553D"/>
    <w:rsid w:val="004778F5"/>
    <w:rsid w:val="004C536B"/>
    <w:rsid w:val="004D0EAD"/>
    <w:rsid w:val="004D3299"/>
    <w:rsid w:val="004E32EC"/>
    <w:rsid w:val="004E73DE"/>
    <w:rsid w:val="004F17F2"/>
    <w:rsid w:val="00500C3D"/>
    <w:rsid w:val="005628FA"/>
    <w:rsid w:val="00577F52"/>
    <w:rsid w:val="00582EEA"/>
    <w:rsid w:val="0058677B"/>
    <w:rsid w:val="005A7F4A"/>
    <w:rsid w:val="005C4B66"/>
    <w:rsid w:val="005D18BA"/>
    <w:rsid w:val="005E4CFA"/>
    <w:rsid w:val="005F3F36"/>
    <w:rsid w:val="005F7428"/>
    <w:rsid w:val="00601889"/>
    <w:rsid w:val="00606115"/>
    <w:rsid w:val="0063693D"/>
    <w:rsid w:val="00640C1A"/>
    <w:rsid w:val="00656172"/>
    <w:rsid w:val="00671AC6"/>
    <w:rsid w:val="006768B1"/>
    <w:rsid w:val="00676BE3"/>
    <w:rsid w:val="00677603"/>
    <w:rsid w:val="0068737A"/>
    <w:rsid w:val="00692AC8"/>
    <w:rsid w:val="006960F2"/>
    <w:rsid w:val="006B7882"/>
    <w:rsid w:val="006C1B33"/>
    <w:rsid w:val="006C4487"/>
    <w:rsid w:val="006D7E88"/>
    <w:rsid w:val="006E4AC9"/>
    <w:rsid w:val="006F60A1"/>
    <w:rsid w:val="00702B9B"/>
    <w:rsid w:val="00705948"/>
    <w:rsid w:val="00705BFB"/>
    <w:rsid w:val="00712DAC"/>
    <w:rsid w:val="00722EC6"/>
    <w:rsid w:val="00724758"/>
    <w:rsid w:val="007270A2"/>
    <w:rsid w:val="0073478B"/>
    <w:rsid w:val="00734F1A"/>
    <w:rsid w:val="00773FF9"/>
    <w:rsid w:val="007860DB"/>
    <w:rsid w:val="007A0715"/>
    <w:rsid w:val="007B40A9"/>
    <w:rsid w:val="007C5EEE"/>
    <w:rsid w:val="007D4341"/>
    <w:rsid w:val="007D654A"/>
    <w:rsid w:val="007F3AFE"/>
    <w:rsid w:val="007F53B5"/>
    <w:rsid w:val="007F7373"/>
    <w:rsid w:val="00806D1A"/>
    <w:rsid w:val="008211CD"/>
    <w:rsid w:val="00844025"/>
    <w:rsid w:val="008508C6"/>
    <w:rsid w:val="00855099"/>
    <w:rsid w:val="00873866"/>
    <w:rsid w:val="008774F3"/>
    <w:rsid w:val="00896C25"/>
    <w:rsid w:val="008A0AAF"/>
    <w:rsid w:val="008C4318"/>
    <w:rsid w:val="008E26A0"/>
    <w:rsid w:val="008E52E3"/>
    <w:rsid w:val="008E6118"/>
    <w:rsid w:val="009001E2"/>
    <w:rsid w:val="009070B5"/>
    <w:rsid w:val="00917451"/>
    <w:rsid w:val="00920AF7"/>
    <w:rsid w:val="00924E1D"/>
    <w:rsid w:val="00925A05"/>
    <w:rsid w:val="00930F74"/>
    <w:rsid w:val="009502B8"/>
    <w:rsid w:val="00957FA9"/>
    <w:rsid w:val="00960A0B"/>
    <w:rsid w:val="009662F3"/>
    <w:rsid w:val="00981BBA"/>
    <w:rsid w:val="00982A07"/>
    <w:rsid w:val="00987963"/>
    <w:rsid w:val="009918DC"/>
    <w:rsid w:val="009A273F"/>
    <w:rsid w:val="009B5B6B"/>
    <w:rsid w:val="009C0695"/>
    <w:rsid w:val="009C3213"/>
    <w:rsid w:val="009D7FC0"/>
    <w:rsid w:val="009E721B"/>
    <w:rsid w:val="00A06EE8"/>
    <w:rsid w:val="00A12BD3"/>
    <w:rsid w:val="00A17734"/>
    <w:rsid w:val="00A316F4"/>
    <w:rsid w:val="00A356C4"/>
    <w:rsid w:val="00A62DA2"/>
    <w:rsid w:val="00A72146"/>
    <w:rsid w:val="00A92E8C"/>
    <w:rsid w:val="00A96D02"/>
    <w:rsid w:val="00AA4C6D"/>
    <w:rsid w:val="00AC0740"/>
    <w:rsid w:val="00AC771A"/>
    <w:rsid w:val="00AC7DAF"/>
    <w:rsid w:val="00AF6A93"/>
    <w:rsid w:val="00B057EE"/>
    <w:rsid w:val="00B256FC"/>
    <w:rsid w:val="00B47C1A"/>
    <w:rsid w:val="00B5097D"/>
    <w:rsid w:val="00B5321F"/>
    <w:rsid w:val="00B70C13"/>
    <w:rsid w:val="00B74B6B"/>
    <w:rsid w:val="00B773D7"/>
    <w:rsid w:val="00B85851"/>
    <w:rsid w:val="00B87AF6"/>
    <w:rsid w:val="00B94A1C"/>
    <w:rsid w:val="00B96351"/>
    <w:rsid w:val="00BA7D7A"/>
    <w:rsid w:val="00BB3C2B"/>
    <w:rsid w:val="00BC26F2"/>
    <w:rsid w:val="00BD60CA"/>
    <w:rsid w:val="00BE6CCC"/>
    <w:rsid w:val="00BF15B7"/>
    <w:rsid w:val="00BF3E41"/>
    <w:rsid w:val="00BF4746"/>
    <w:rsid w:val="00BF69EB"/>
    <w:rsid w:val="00C243C4"/>
    <w:rsid w:val="00C2570B"/>
    <w:rsid w:val="00C2614C"/>
    <w:rsid w:val="00C276A8"/>
    <w:rsid w:val="00C554EE"/>
    <w:rsid w:val="00C60942"/>
    <w:rsid w:val="00C61F77"/>
    <w:rsid w:val="00C80312"/>
    <w:rsid w:val="00CA1346"/>
    <w:rsid w:val="00CA7BF8"/>
    <w:rsid w:val="00CB15FE"/>
    <w:rsid w:val="00CF6721"/>
    <w:rsid w:val="00D040E9"/>
    <w:rsid w:val="00D05528"/>
    <w:rsid w:val="00D146BE"/>
    <w:rsid w:val="00D55519"/>
    <w:rsid w:val="00D8288E"/>
    <w:rsid w:val="00D86D16"/>
    <w:rsid w:val="00DA31EE"/>
    <w:rsid w:val="00DC21C2"/>
    <w:rsid w:val="00DD02DC"/>
    <w:rsid w:val="00DD343C"/>
    <w:rsid w:val="00DE457D"/>
    <w:rsid w:val="00DE5ADC"/>
    <w:rsid w:val="00E06A13"/>
    <w:rsid w:val="00E11CCC"/>
    <w:rsid w:val="00E32C02"/>
    <w:rsid w:val="00E517AC"/>
    <w:rsid w:val="00E56125"/>
    <w:rsid w:val="00E56368"/>
    <w:rsid w:val="00E617D0"/>
    <w:rsid w:val="00E6192C"/>
    <w:rsid w:val="00E72037"/>
    <w:rsid w:val="00E74566"/>
    <w:rsid w:val="00E83159"/>
    <w:rsid w:val="00E942EB"/>
    <w:rsid w:val="00E96EB8"/>
    <w:rsid w:val="00EA6EF9"/>
    <w:rsid w:val="00EB0C0D"/>
    <w:rsid w:val="00EB3366"/>
    <w:rsid w:val="00ED753D"/>
    <w:rsid w:val="00EE31A4"/>
    <w:rsid w:val="00EE4FBD"/>
    <w:rsid w:val="00F04F8E"/>
    <w:rsid w:val="00F05D2A"/>
    <w:rsid w:val="00F24C99"/>
    <w:rsid w:val="00F62D25"/>
    <w:rsid w:val="00F87862"/>
    <w:rsid w:val="00FB0F94"/>
    <w:rsid w:val="00FB2896"/>
    <w:rsid w:val="00FB6C9D"/>
    <w:rsid w:val="00FC5CED"/>
    <w:rsid w:val="00FE0D3C"/>
    <w:rsid w:val="00FE6282"/>
    <w:rsid w:val="00FF1881"/>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lj2\Desktop\2024%20Web%20site%20fact%20sheets%20etc\2024%20Fact%20sheets%20in%20WORD\plantclinic.cornell.e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3</cp:revision>
  <cp:lastPrinted>2018-08-22T19:02:00Z</cp:lastPrinted>
  <dcterms:created xsi:type="dcterms:W3CDTF">2024-12-16T21:08:00Z</dcterms:created>
  <dcterms:modified xsi:type="dcterms:W3CDTF">2024-12-16T21:10:00Z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653dbecc367925eaf68bb7b544aaa82cec88839570ba25394097344caf3368b2</vt:lpwstr>
  </property>
</Properties>
</file>