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28875EB0" w14:textId="77777777" w:rsidR="00676BE3" w:rsidRDefault="00C15DB3">
      <w:pPr>
        <w:rPr>
          <w:rFonts w:ascii="Work Sans" w:hAnsi="Work Sans"/>
          <w:i/>
          <w:color w:val="000000" w:themeColor="text1"/>
          <w:sz w:val="36"/>
          <w:szCs w:val="36"/>
        </w:rPr>
      </w:pPr>
      <w:r w:rsidRPr="00C15DB3">
        <w:rPr>
          <w:rFonts w:ascii="Work Sans" w:hAnsi="Work Sans"/>
          <w:b/>
          <w:color w:val="000000" w:themeColor="text1"/>
          <w:sz w:val="44"/>
          <w:szCs w:val="44"/>
        </w:rPr>
        <w:t>Paecilomyces Rot</w:t>
      </w:r>
      <w:r w:rsidR="00712DAC" w:rsidRPr="005E4CFA">
        <w:rPr>
          <w:rFonts w:ascii="Work Sans" w:hAnsi="Work Sans"/>
          <w:b/>
          <w:color w:val="000000" w:themeColor="text1"/>
          <w:sz w:val="44"/>
          <w:szCs w:val="44"/>
        </w:rPr>
        <w:t>:</w:t>
      </w:r>
      <w:r w:rsidR="0058677B">
        <w:rPr>
          <w:rFonts w:ascii="Work Sans" w:hAnsi="Work Sans"/>
          <w:b/>
          <w:color w:val="000000" w:themeColor="text1"/>
          <w:sz w:val="44"/>
          <w:szCs w:val="44"/>
        </w:rPr>
        <w:t xml:space="preserve"> </w:t>
      </w:r>
      <w:r w:rsidR="001C63E8" w:rsidRPr="001C63E8">
        <w:rPr>
          <w:rFonts w:ascii="Work Sans" w:hAnsi="Work Sans"/>
          <w:i/>
          <w:color w:val="000000" w:themeColor="text1"/>
          <w:sz w:val="36"/>
          <w:szCs w:val="36"/>
        </w:rPr>
        <w:t xml:space="preserve">Paecilomyces </w:t>
      </w:r>
      <w:proofErr w:type="spellStart"/>
      <w:r w:rsidR="001C63E8" w:rsidRPr="001C63E8">
        <w:rPr>
          <w:rFonts w:ascii="Work Sans" w:hAnsi="Work Sans"/>
          <w:i/>
          <w:color w:val="000000" w:themeColor="text1"/>
          <w:sz w:val="36"/>
          <w:szCs w:val="36"/>
        </w:rPr>
        <w:t>niveus</w:t>
      </w:r>
      <w:proofErr w:type="spellEnd"/>
    </w:p>
    <w:p w14:paraId="155A55AD" w14:textId="77777777" w:rsidR="00CD1D71" w:rsidRPr="00CD1D71" w:rsidRDefault="00CD1D71">
      <w:pPr>
        <w:rPr>
          <w:rFonts w:ascii="Work Sans" w:hAnsi="Work Sans"/>
          <w:i/>
          <w:color w:val="000000" w:themeColor="text1"/>
          <w:sz w:val="16"/>
          <w:szCs w:val="16"/>
        </w:rPr>
      </w:pPr>
    </w:p>
    <w:p w14:paraId="55374E8A" w14:textId="42152F38" w:rsidR="00CD1D71" w:rsidRPr="0058677B" w:rsidRDefault="00CD1D71">
      <w:pPr>
        <w:rPr>
          <w:rFonts w:ascii="Work Sans" w:hAnsi="Work Sans"/>
          <w:b/>
          <w:color w:val="000000" w:themeColor="text1"/>
          <w:sz w:val="44"/>
          <w:szCs w:val="44"/>
        </w:rPr>
        <w:sectPr w:rsidR="00CD1D71" w:rsidRPr="0058677B" w:rsidSect="00437088">
          <w:pgSz w:w="12240" w:h="15840"/>
          <w:pgMar w:top="720" w:right="720" w:bottom="720" w:left="720" w:header="720" w:footer="720" w:gutter="0"/>
          <w:cols w:space="720"/>
          <w:docGrid w:linePitch="360"/>
        </w:sectPr>
      </w:pPr>
    </w:p>
    <w:p w14:paraId="0C8E739A" w14:textId="0878D53C" w:rsidR="00896C25" w:rsidRDefault="00712DAC" w:rsidP="00896C25">
      <w:pPr>
        <w:spacing w:after="120"/>
        <w:rPr>
          <w:rFonts w:ascii="Lora" w:hAnsi="Lora" w:cs="AGaramondPro-Regular"/>
        </w:rPr>
      </w:pPr>
      <w:r w:rsidRPr="005E4CFA">
        <w:rPr>
          <w:rFonts w:ascii="Work Sans" w:hAnsi="Work Sans"/>
          <w:b/>
          <w:color w:val="000000" w:themeColor="text1"/>
          <w:sz w:val="28"/>
          <w:szCs w:val="28"/>
        </w:rPr>
        <w:t>Introduction</w:t>
      </w:r>
    </w:p>
    <w:p w14:paraId="4B1CFB35" w14:textId="5E431DC2" w:rsidR="001C63E8" w:rsidRDefault="001C63E8" w:rsidP="00A34905">
      <w:pPr>
        <w:spacing w:after="120"/>
        <w:rPr>
          <w:rFonts w:ascii="Lora" w:hAnsi="Lora" w:cs="AGaramondPro-Regular"/>
        </w:rPr>
      </w:pPr>
      <w:r w:rsidRPr="001C63E8">
        <w:rPr>
          <w:rFonts w:ascii="Lora" w:hAnsi="Lora" w:cs="AGaramondPro-Regular"/>
        </w:rPr>
        <w:t xml:space="preserve">Paecilomyces Rot is a disease caused by the fungus </w:t>
      </w:r>
      <w:r w:rsidRPr="00926546">
        <w:rPr>
          <w:rFonts w:ascii="Lora" w:hAnsi="Lora" w:cs="AGaramondPro-Regular"/>
          <w:i/>
          <w:iCs/>
        </w:rPr>
        <w:t xml:space="preserve">Paecilomyces </w:t>
      </w:r>
      <w:proofErr w:type="spellStart"/>
      <w:r w:rsidRPr="00926546">
        <w:rPr>
          <w:rFonts w:ascii="Lora" w:hAnsi="Lora" w:cs="AGaramondPro-Regular"/>
          <w:i/>
          <w:iCs/>
        </w:rPr>
        <w:t>niveus</w:t>
      </w:r>
      <w:proofErr w:type="spellEnd"/>
      <w:r w:rsidRPr="001C63E8">
        <w:rPr>
          <w:rFonts w:ascii="Lora" w:hAnsi="Lora" w:cs="AGaramondPro-Regular"/>
        </w:rPr>
        <w:t xml:space="preserve"> (synonym </w:t>
      </w:r>
      <w:proofErr w:type="spellStart"/>
      <w:r w:rsidRPr="00926546">
        <w:rPr>
          <w:rFonts w:ascii="Lora" w:hAnsi="Lora" w:cs="AGaramondPro-Regular"/>
          <w:i/>
          <w:iCs/>
        </w:rPr>
        <w:t>Byssochlamys</w:t>
      </w:r>
      <w:proofErr w:type="spellEnd"/>
      <w:r w:rsidRPr="00926546">
        <w:rPr>
          <w:rFonts w:ascii="Lora" w:hAnsi="Lora" w:cs="AGaramondPro-Regular"/>
          <w:i/>
          <w:iCs/>
        </w:rPr>
        <w:t xml:space="preserve"> nivea</w:t>
      </w:r>
      <w:r w:rsidRPr="001C63E8">
        <w:rPr>
          <w:rFonts w:ascii="Lora" w:hAnsi="Lora" w:cs="AGaramondPro-Regular"/>
        </w:rPr>
        <w:t xml:space="preserve">, Ascomycota, </w:t>
      </w:r>
      <w:proofErr w:type="spellStart"/>
      <w:r w:rsidRPr="001C63E8">
        <w:rPr>
          <w:rFonts w:ascii="Lora" w:hAnsi="Lora" w:cs="AGaramondPro-Regular"/>
        </w:rPr>
        <w:t>Eurotiomycetes</w:t>
      </w:r>
      <w:proofErr w:type="spellEnd"/>
      <w:r w:rsidRPr="001C63E8">
        <w:rPr>
          <w:rFonts w:ascii="Lora" w:hAnsi="Lora" w:cs="AGaramondPro-Regular"/>
        </w:rPr>
        <w:t xml:space="preserve">). This mold can infect apple fruits via wounds before and after </w:t>
      </w:r>
      <w:r w:rsidR="00926546" w:rsidRPr="001C63E8">
        <w:rPr>
          <w:rFonts w:ascii="Lora" w:hAnsi="Lora" w:cs="AGaramondPro-Regular"/>
        </w:rPr>
        <w:t>harvest and</w:t>
      </w:r>
      <w:r w:rsidRPr="001C63E8">
        <w:rPr>
          <w:rFonts w:ascii="Lora" w:hAnsi="Lora" w:cs="AGaramondPro-Regular"/>
        </w:rPr>
        <w:t xml:space="preserve"> cause interior rot. </w:t>
      </w:r>
      <w:r w:rsidRPr="00926546">
        <w:rPr>
          <w:rFonts w:ascii="Lora" w:hAnsi="Lora" w:cs="AGaramondPro-Regular"/>
          <w:i/>
          <w:iCs/>
        </w:rPr>
        <w:t xml:space="preserve">Paecilomyces </w:t>
      </w:r>
      <w:proofErr w:type="spellStart"/>
      <w:r w:rsidRPr="00926546">
        <w:rPr>
          <w:rFonts w:ascii="Lora" w:hAnsi="Lora" w:cs="AGaramondPro-Regular"/>
          <w:i/>
          <w:iCs/>
        </w:rPr>
        <w:t>niveus</w:t>
      </w:r>
      <w:proofErr w:type="spellEnd"/>
      <w:r w:rsidRPr="001C63E8">
        <w:rPr>
          <w:rFonts w:ascii="Lora" w:hAnsi="Lora" w:cs="AGaramondPro-Regular"/>
        </w:rPr>
        <w:t xml:space="preserve"> can produce patulin, a federally regulated mycotoxin that is potentially neurotoxic and carcinogenic. Spores and hyphae of </w:t>
      </w:r>
      <w:r w:rsidRPr="00926546">
        <w:rPr>
          <w:rFonts w:ascii="Lora" w:hAnsi="Lora" w:cs="AGaramondPro-Regular"/>
          <w:i/>
          <w:iCs/>
        </w:rPr>
        <w:t xml:space="preserve">P. </w:t>
      </w:r>
      <w:proofErr w:type="spellStart"/>
      <w:r w:rsidRPr="00926546">
        <w:rPr>
          <w:rFonts w:ascii="Lora" w:hAnsi="Lora" w:cs="AGaramondPro-Regular"/>
          <w:i/>
          <w:iCs/>
        </w:rPr>
        <w:t>niveus</w:t>
      </w:r>
      <w:proofErr w:type="spellEnd"/>
      <w:r w:rsidRPr="001C63E8">
        <w:rPr>
          <w:rFonts w:ascii="Lora" w:hAnsi="Lora" w:cs="AGaramondPro-Regular"/>
        </w:rPr>
        <w:t xml:space="preserve"> are the infectious agents of Paecilomyces rot. </w:t>
      </w:r>
    </w:p>
    <w:p w14:paraId="3C581050" w14:textId="2D1CF62E" w:rsidR="001C63E8" w:rsidRPr="00AC7DAF" w:rsidRDefault="001C63E8" w:rsidP="00A34905">
      <w:pPr>
        <w:spacing w:after="120"/>
        <w:rPr>
          <w:rFonts w:ascii="Lora" w:hAnsi="Lora" w:cs="AGaramondPro-Regular"/>
        </w:rPr>
      </w:pPr>
      <w:r w:rsidRPr="001C63E8">
        <w:rPr>
          <w:rFonts w:ascii="Lora" w:hAnsi="Lora" w:cs="AGaramondPro-Regular"/>
        </w:rPr>
        <w:t xml:space="preserve">Ascospores of </w:t>
      </w:r>
      <w:r w:rsidRPr="001C63E8">
        <w:rPr>
          <w:rFonts w:ascii="Lora" w:hAnsi="Lora" w:cs="AGaramondPro-Regular"/>
          <w:i/>
          <w:iCs/>
        </w:rPr>
        <w:t xml:space="preserve">P. </w:t>
      </w:r>
      <w:proofErr w:type="spellStart"/>
      <w:r w:rsidRPr="001C63E8">
        <w:rPr>
          <w:rFonts w:ascii="Lora" w:hAnsi="Lora" w:cs="AGaramondPro-Regular"/>
          <w:i/>
          <w:iCs/>
        </w:rPr>
        <w:t>niveus</w:t>
      </w:r>
      <w:proofErr w:type="spellEnd"/>
      <w:r w:rsidRPr="001C63E8">
        <w:rPr>
          <w:rFonts w:ascii="Lora" w:hAnsi="Lora" w:cs="AGaramondPro-Regular"/>
        </w:rPr>
        <w:t xml:space="preserve"> resist heat sterilization processes, and the fungus can also grow in extreme environments including high alcohol and low oxygen. These abilities make </w:t>
      </w:r>
      <w:r w:rsidRPr="00926546">
        <w:rPr>
          <w:rFonts w:ascii="Lora" w:hAnsi="Lora" w:cs="AGaramondPro-Regular"/>
          <w:i/>
          <w:iCs/>
        </w:rPr>
        <w:t xml:space="preserve">P. </w:t>
      </w:r>
      <w:proofErr w:type="spellStart"/>
      <w:r w:rsidRPr="00926546">
        <w:rPr>
          <w:rFonts w:ascii="Lora" w:hAnsi="Lora" w:cs="AGaramondPro-Regular"/>
          <w:i/>
          <w:iCs/>
        </w:rPr>
        <w:t>niveus</w:t>
      </w:r>
      <w:proofErr w:type="spellEnd"/>
      <w:r w:rsidRPr="00926546">
        <w:rPr>
          <w:rFonts w:ascii="Lora" w:hAnsi="Lora" w:cs="AGaramondPro-Regular"/>
          <w:i/>
          <w:iCs/>
        </w:rPr>
        <w:t xml:space="preserve"> </w:t>
      </w:r>
      <w:r w:rsidRPr="001C63E8">
        <w:rPr>
          <w:rFonts w:ascii="Lora" w:hAnsi="Lora" w:cs="AGaramondPro-Regular"/>
        </w:rPr>
        <w:t xml:space="preserve">a formidable food spoilage fungus, so diseased apples should not be used for processing into juices and sauces. </w:t>
      </w:r>
    </w:p>
    <w:p w14:paraId="2B317735" w14:textId="429B8FDF" w:rsidR="00D146BE" w:rsidRDefault="00712DAC" w:rsidP="00CF6721">
      <w:pPr>
        <w:spacing w:after="120"/>
        <w:rPr>
          <w:rFonts w:ascii="Lora" w:hAnsi="Lora" w:cs="AGaramondPro-Regular"/>
        </w:rPr>
      </w:pPr>
      <w:r w:rsidRPr="005E4CFA">
        <w:rPr>
          <w:rFonts w:ascii="Work Sans" w:hAnsi="Work Sans"/>
          <w:b/>
          <w:color w:val="000000"/>
          <w:sz w:val="28"/>
          <w:szCs w:val="28"/>
        </w:rPr>
        <w:t>Symptoms and Signs</w:t>
      </w:r>
    </w:p>
    <w:p w14:paraId="0E718972" w14:textId="14663F0B" w:rsidR="00A37C96" w:rsidRDefault="00A37C96" w:rsidP="00A37C96">
      <w:pPr>
        <w:spacing w:after="120"/>
        <w:rPr>
          <w:rFonts w:ascii="Lora" w:hAnsi="Lora" w:cs="AGaramondPro-Regular"/>
        </w:rPr>
      </w:pPr>
      <w:r w:rsidRPr="00A37C96">
        <w:rPr>
          <w:rFonts w:ascii="Lora" w:hAnsi="Lora" w:cs="AGaramondPro-Regular"/>
        </w:rPr>
        <w:t xml:space="preserve">Paecilomyces rot is characterized by firm, round, slowly expanding, bruise-like lesions on the apple surface (Fig. 1). A lesion originates at the site of infection (wound) and is dark brown with or without faint concentric rings, sometimes with white hyphae protruding from lenticels. Within the apple, the rot leads to discolored but firm tissue spreading from the site of infection. Paecilomyces rot may have a faint earthy, pungent smell. </w:t>
      </w:r>
      <w:r w:rsidR="00CD1D71">
        <w:rPr>
          <w:rFonts w:ascii="Lora" w:hAnsi="Lora" w:cs="AGaramondPro-Regular"/>
        </w:rPr>
        <w:t xml:space="preserve"> </w:t>
      </w:r>
    </w:p>
    <w:p w14:paraId="56004A4B" w14:textId="44BEF395" w:rsidR="00CD1D71" w:rsidRDefault="00CD1D71" w:rsidP="00A37C96">
      <w:pPr>
        <w:spacing w:after="120"/>
        <w:rPr>
          <w:rFonts w:ascii="Lora" w:hAnsi="Lora" w:cs="AGaramondPro-Regular"/>
        </w:rPr>
      </w:pPr>
      <w:r w:rsidRPr="00A37C96">
        <w:rPr>
          <w:rFonts w:ascii="Lora" w:hAnsi="Lora" w:cs="AGaramondPro-Regular"/>
          <w:i/>
          <w:iCs/>
        </w:rPr>
        <w:t xml:space="preserve">Paecilomyces </w:t>
      </w:r>
      <w:proofErr w:type="spellStart"/>
      <w:r w:rsidRPr="00A37C96">
        <w:rPr>
          <w:rFonts w:ascii="Lora" w:hAnsi="Lora" w:cs="AGaramondPro-Regular"/>
          <w:i/>
          <w:iCs/>
        </w:rPr>
        <w:t>niveus</w:t>
      </w:r>
      <w:proofErr w:type="spellEnd"/>
      <w:r w:rsidRPr="00A37C96">
        <w:rPr>
          <w:rFonts w:ascii="Lora" w:hAnsi="Lora" w:cs="AGaramondPro-Regular"/>
        </w:rPr>
        <w:t xml:space="preserve"> grows readily on common media including potato dextrose, </w:t>
      </w:r>
      <w:proofErr w:type="spellStart"/>
      <w:r w:rsidRPr="00A37C96">
        <w:rPr>
          <w:rFonts w:ascii="Lora" w:hAnsi="Lora" w:cs="AGaramondPro-Regular"/>
        </w:rPr>
        <w:t>Czapek</w:t>
      </w:r>
      <w:proofErr w:type="spellEnd"/>
      <w:r w:rsidRPr="00A37C96">
        <w:rPr>
          <w:rFonts w:ascii="Lora" w:hAnsi="Lora" w:cs="AGaramondPro-Regular"/>
        </w:rPr>
        <w:t>, and malt extract agar, appearing white at first and</w:t>
      </w:r>
      <w:r>
        <w:rPr>
          <w:rFonts w:ascii="Lora" w:hAnsi="Lora" w:cs="AGaramondPro-Regular"/>
        </w:rPr>
        <w:t xml:space="preserve"> </w:t>
      </w:r>
      <w:r w:rsidRPr="00A37C96">
        <w:rPr>
          <w:rFonts w:ascii="Lora" w:hAnsi="Lora" w:cs="AGaramondPro-Regular"/>
        </w:rPr>
        <w:t>yellowing with age. On potato dextrose agar,</w:t>
      </w:r>
    </w:p>
    <w:p w14:paraId="3FCB5206" w14:textId="7037A145" w:rsidR="0047516B" w:rsidRDefault="0047516B" w:rsidP="00A37C96">
      <w:pPr>
        <w:spacing w:after="120"/>
        <w:rPr>
          <w:rFonts w:ascii="Lora" w:hAnsi="Lora" w:cs="AGaramondPro-Regular"/>
        </w:rPr>
      </w:pPr>
      <w:r w:rsidRPr="00B17CD2">
        <w:rPr>
          <w:rFonts w:ascii="Lora" w:hAnsi="Lora" w:cs="AGaramondPro-Regular"/>
          <w:noProof/>
        </w:rPr>
        <w:drawing>
          <wp:inline distT="0" distB="0" distL="0" distR="0" wp14:anchorId="2132D29F" wp14:editId="6C1F64AF">
            <wp:extent cx="3062112" cy="2952750"/>
            <wp:effectExtent l="0" t="0" r="5080" b="0"/>
            <wp:docPr id="645625715" name="Picture 1" descr="A close up of an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25715" name="Picture 1" descr="A close up of an apple&#10;&#10;Description automatically generated"/>
                    <pic:cNvPicPr/>
                  </pic:nvPicPr>
                  <pic:blipFill>
                    <a:blip r:embed="rId6"/>
                    <a:stretch>
                      <a:fillRect/>
                    </a:stretch>
                  </pic:blipFill>
                  <pic:spPr>
                    <a:xfrm>
                      <a:off x="0" y="0"/>
                      <a:ext cx="3074999" cy="2965176"/>
                    </a:xfrm>
                    <a:prstGeom prst="rect">
                      <a:avLst/>
                    </a:prstGeom>
                  </pic:spPr>
                </pic:pic>
              </a:graphicData>
            </a:graphic>
          </wp:inline>
        </w:drawing>
      </w:r>
    </w:p>
    <w:p w14:paraId="5B69C038" w14:textId="07C0140A" w:rsidR="0047516B" w:rsidRPr="0047516B" w:rsidRDefault="0047516B" w:rsidP="00A37C96">
      <w:pPr>
        <w:spacing w:after="120"/>
        <w:rPr>
          <w:rFonts w:ascii="Lora" w:hAnsi="Lora" w:cs="AGaramondPro-Regular"/>
          <w:sz w:val="20"/>
          <w:szCs w:val="20"/>
        </w:rPr>
      </w:pPr>
      <w:r w:rsidRPr="00406A57">
        <w:rPr>
          <w:rFonts w:ascii="Lora" w:hAnsi="Lora" w:cs="AGaramondPro-Regular"/>
          <w:sz w:val="20"/>
          <w:szCs w:val="20"/>
        </w:rPr>
        <w:t xml:space="preserve">Figure 1: </w:t>
      </w:r>
      <w:r w:rsidRPr="00940D33">
        <w:rPr>
          <w:rFonts w:ascii="Lora" w:hAnsi="Lora" w:cs="AGaramondPro-Regular"/>
          <w:sz w:val="20"/>
          <w:szCs w:val="20"/>
        </w:rPr>
        <w:t>A diseased Fuji apple 2 weeks post-inoculation via infected toothpick (in the center of the brown lesion)</w:t>
      </w:r>
      <w:r>
        <w:rPr>
          <w:rFonts w:ascii="Lora" w:hAnsi="Lora" w:cs="AGaramondPro-Regular"/>
          <w:sz w:val="20"/>
          <w:szCs w:val="20"/>
        </w:rPr>
        <w:t>.</w:t>
      </w:r>
    </w:p>
    <w:p w14:paraId="5656C5D1" w14:textId="3E692FE8" w:rsidR="00540F97" w:rsidRDefault="00A37C96" w:rsidP="00A37C96">
      <w:pPr>
        <w:spacing w:after="120"/>
        <w:rPr>
          <w:rFonts w:ascii="Lora" w:hAnsi="Lora" w:cs="AGaramondPro-Regular"/>
        </w:rPr>
      </w:pPr>
      <w:r w:rsidRPr="00780AA2">
        <w:rPr>
          <w:rFonts w:ascii="Lora" w:hAnsi="Lora" w:cs="AGaramondPro-Regular"/>
          <w:i/>
          <w:iCs/>
        </w:rPr>
        <w:t xml:space="preserve">P. </w:t>
      </w:r>
      <w:proofErr w:type="spellStart"/>
      <w:r w:rsidRPr="00780AA2">
        <w:rPr>
          <w:rFonts w:ascii="Lora" w:hAnsi="Lora" w:cs="AGaramondPro-Regular"/>
          <w:i/>
          <w:iCs/>
        </w:rPr>
        <w:t>niveus</w:t>
      </w:r>
      <w:proofErr w:type="spellEnd"/>
      <w:r w:rsidRPr="00780AA2">
        <w:rPr>
          <w:rFonts w:ascii="Lora" w:hAnsi="Lora" w:cs="AGaramondPro-Regular"/>
          <w:i/>
          <w:iCs/>
        </w:rPr>
        <w:t xml:space="preserve"> </w:t>
      </w:r>
      <w:r w:rsidRPr="00A37C96">
        <w:rPr>
          <w:rFonts w:ascii="Lora" w:hAnsi="Lora" w:cs="AGaramondPro-Regular"/>
        </w:rPr>
        <w:t xml:space="preserve">produces abundant clusters of naked asci. Ascospores are ovoid and smooth (2.8-4.0 x 3.4-5.6 µm) (Fig. 3). Occasionally, conidia (3-6 x 2-4 µm) or thick-walled chlamydospores (6-10 µm in diameter) are produced. </w:t>
      </w:r>
    </w:p>
    <w:p w14:paraId="0FD0582A" w14:textId="5BAEA758" w:rsidR="00A37C96" w:rsidRDefault="00A37C96" w:rsidP="00A37C96">
      <w:pPr>
        <w:spacing w:after="120"/>
        <w:rPr>
          <w:rFonts w:ascii="Lora" w:hAnsi="Lora" w:cs="AGaramondPro-Regular"/>
        </w:rPr>
      </w:pPr>
      <w:r w:rsidRPr="00A37C96">
        <w:rPr>
          <w:rFonts w:ascii="Lora" w:hAnsi="Lora" w:cs="AGaramondPro-Regular"/>
        </w:rPr>
        <w:t xml:space="preserve">Paecilomyces rot is </w:t>
      </w:r>
      <w:proofErr w:type="gramStart"/>
      <w:r w:rsidRPr="00A37C96">
        <w:rPr>
          <w:rFonts w:ascii="Lora" w:hAnsi="Lora" w:cs="AGaramondPro-Regular"/>
        </w:rPr>
        <w:t>similar to</w:t>
      </w:r>
      <w:proofErr w:type="gramEnd"/>
      <w:r w:rsidRPr="00A37C96">
        <w:rPr>
          <w:rFonts w:ascii="Lora" w:hAnsi="Lora" w:cs="AGaramondPro-Regular"/>
        </w:rPr>
        <w:t xml:space="preserve"> and may be misdiagnosed as a handful of other diseases: Lesions caused by Bull’s eye rot (</w:t>
      </w:r>
      <w:proofErr w:type="spellStart"/>
      <w:r w:rsidRPr="00780AA2">
        <w:rPr>
          <w:rFonts w:ascii="Lora" w:hAnsi="Lora" w:cs="AGaramondPro-Regular"/>
          <w:i/>
          <w:iCs/>
        </w:rPr>
        <w:t>Neofabraea</w:t>
      </w:r>
      <w:proofErr w:type="spellEnd"/>
      <w:r w:rsidRPr="00A37C96">
        <w:rPr>
          <w:rFonts w:ascii="Lora" w:hAnsi="Lora" w:cs="AGaramondPro-Regular"/>
        </w:rPr>
        <w:t xml:space="preserve"> spp., synonym </w:t>
      </w:r>
      <w:proofErr w:type="spellStart"/>
      <w:r w:rsidRPr="00780AA2">
        <w:rPr>
          <w:rFonts w:ascii="Lora" w:hAnsi="Lora" w:cs="AGaramondPro-Regular"/>
          <w:i/>
          <w:iCs/>
        </w:rPr>
        <w:t>Cryptosporiopsis</w:t>
      </w:r>
      <w:proofErr w:type="spellEnd"/>
      <w:r w:rsidRPr="00A37C96">
        <w:rPr>
          <w:rFonts w:ascii="Lora" w:hAnsi="Lora" w:cs="AGaramondPro-Regular"/>
        </w:rPr>
        <w:t xml:space="preserve"> spp.) are similar but more sunken than those caused by Paecilomyces rot. Bull's eye rot lesions may also be dotted with </w:t>
      </w:r>
      <w:r w:rsidR="00780AA2">
        <w:rPr>
          <w:rFonts w:ascii="Lora" w:hAnsi="Lora" w:cs="AGaramondPro-Regular"/>
        </w:rPr>
        <w:t>cream-colored</w:t>
      </w:r>
      <w:r w:rsidRPr="00A37C96">
        <w:rPr>
          <w:rFonts w:ascii="Lora" w:hAnsi="Lora" w:cs="AGaramondPro-Regular"/>
        </w:rPr>
        <w:t xml:space="preserve"> </w:t>
      </w:r>
      <w:proofErr w:type="spellStart"/>
      <w:r w:rsidRPr="00A37C96">
        <w:rPr>
          <w:rFonts w:ascii="Lora" w:hAnsi="Lora" w:cs="AGaramondPro-Regular"/>
        </w:rPr>
        <w:t>acervuli</w:t>
      </w:r>
      <w:proofErr w:type="spellEnd"/>
      <w:r w:rsidRPr="00A37C96">
        <w:rPr>
          <w:rFonts w:ascii="Lora" w:hAnsi="Lora" w:cs="AGaramondPro-Regular"/>
        </w:rPr>
        <w:t xml:space="preserve">. Blue mold (Penicillium spp.) produces blue-green spore masses on the fruit surface, and a soft, watery (not firm) rot of tissues. Gray mold (Botrytis cinerea) typically covers fruit with gray-brown sporulation, in </w:t>
      </w:r>
      <w:r w:rsidRPr="00A37C96">
        <w:rPr>
          <w:rFonts w:ascii="Lora" w:hAnsi="Lora" w:cs="AGaramondPro-Regular"/>
        </w:rPr>
        <w:lastRenderedPageBreak/>
        <w:t>contrast to the very sparse white mycelium at lenticels of Paecilomyces rot. Gray mold lacks a detectable odor. Mucor rot (</w:t>
      </w:r>
      <w:r w:rsidRPr="00780AA2">
        <w:rPr>
          <w:rFonts w:ascii="Lora" w:hAnsi="Lora" w:cs="AGaramondPro-Regular"/>
          <w:i/>
          <w:iCs/>
        </w:rPr>
        <w:t>Mucor</w:t>
      </w:r>
      <w:r w:rsidRPr="00A37C96">
        <w:rPr>
          <w:rFonts w:ascii="Lora" w:hAnsi="Lora" w:cs="AGaramondPro-Regular"/>
        </w:rPr>
        <w:t xml:space="preserve"> spp.) produces a watery tissue rot, and characteristic “pinhead” sporangia on the surface of the lesion. </w:t>
      </w:r>
      <w:proofErr w:type="spellStart"/>
      <w:r w:rsidRPr="00A37C96">
        <w:rPr>
          <w:rFonts w:ascii="Lora" w:hAnsi="Lora" w:cs="AGaramondPro-Regular"/>
        </w:rPr>
        <w:t>Sphaeropsis</w:t>
      </w:r>
      <w:proofErr w:type="spellEnd"/>
      <w:r w:rsidRPr="00A37C96">
        <w:rPr>
          <w:rFonts w:ascii="Lora" w:hAnsi="Lora" w:cs="AGaramondPro-Regular"/>
        </w:rPr>
        <w:t xml:space="preserve"> rot (</w:t>
      </w:r>
      <w:proofErr w:type="spellStart"/>
      <w:r w:rsidRPr="00780AA2">
        <w:rPr>
          <w:rFonts w:ascii="Lora" w:hAnsi="Lora" w:cs="AGaramondPro-Regular"/>
          <w:i/>
          <w:iCs/>
        </w:rPr>
        <w:t>Sphaeropsis</w:t>
      </w:r>
      <w:proofErr w:type="spellEnd"/>
      <w:r w:rsidRPr="00780AA2">
        <w:rPr>
          <w:rFonts w:ascii="Lora" w:hAnsi="Lora" w:cs="AGaramondPro-Regular"/>
          <w:i/>
          <w:iCs/>
        </w:rPr>
        <w:t xml:space="preserve"> </w:t>
      </w:r>
      <w:proofErr w:type="spellStart"/>
      <w:r w:rsidRPr="00780AA2">
        <w:rPr>
          <w:rFonts w:ascii="Lora" w:hAnsi="Lora" w:cs="AGaramondPro-Regular"/>
          <w:i/>
          <w:iCs/>
        </w:rPr>
        <w:t>pyriputrescens</w:t>
      </w:r>
      <w:proofErr w:type="spellEnd"/>
      <w:r w:rsidRPr="00A37C96">
        <w:rPr>
          <w:rFonts w:ascii="Lora" w:hAnsi="Lora" w:cs="AGaramondPro-Regular"/>
        </w:rPr>
        <w:t xml:space="preserve">) is distinctive for its black pycnidia in decayed areas. The disease usually occurs near the stem or calyx. </w:t>
      </w:r>
    </w:p>
    <w:p w14:paraId="5D463B95" w14:textId="0DE2D05C" w:rsidR="00540F97" w:rsidRPr="004C7493" w:rsidRDefault="00540F97" w:rsidP="00A37C96">
      <w:pPr>
        <w:spacing w:after="120"/>
        <w:rPr>
          <w:rFonts w:ascii="Work Sans" w:hAnsi="Work Sans"/>
          <w:b/>
          <w:color w:val="000000"/>
          <w:sz w:val="28"/>
          <w:szCs w:val="28"/>
        </w:rPr>
      </w:pPr>
      <w:r w:rsidRPr="004C7493">
        <w:rPr>
          <w:rFonts w:ascii="Work Sans" w:hAnsi="Work Sans"/>
          <w:b/>
          <w:color w:val="000000"/>
          <w:sz w:val="28"/>
          <w:szCs w:val="28"/>
        </w:rPr>
        <w:t>Host and Distribution</w:t>
      </w:r>
    </w:p>
    <w:p w14:paraId="37150A90" w14:textId="0C2D6931" w:rsidR="00780AA2" w:rsidRDefault="004C7493" w:rsidP="00A37C96">
      <w:pPr>
        <w:spacing w:after="120"/>
        <w:rPr>
          <w:rFonts w:ascii="Lora" w:hAnsi="Lora" w:cs="AGaramondPro-Regular"/>
        </w:rPr>
      </w:pPr>
      <w:r w:rsidRPr="004C7493">
        <w:rPr>
          <w:rFonts w:ascii="Lora" w:hAnsi="Lora" w:cs="AGaramondPro-Regular"/>
        </w:rPr>
        <w:t xml:space="preserve">Paecilomyces rot can infect a wide variety of apple fruits. While the distribution of Paecilomyces rot is not yet known, </w:t>
      </w:r>
      <w:r w:rsidRPr="004C7493">
        <w:rPr>
          <w:rFonts w:ascii="Lora" w:hAnsi="Lora" w:cs="AGaramondPro-Regular"/>
          <w:i/>
          <w:iCs/>
        </w:rPr>
        <w:t xml:space="preserve">P. </w:t>
      </w:r>
      <w:proofErr w:type="spellStart"/>
      <w:r w:rsidRPr="004C7493">
        <w:rPr>
          <w:rFonts w:ascii="Lora" w:hAnsi="Lora" w:cs="AGaramondPro-Regular"/>
          <w:i/>
          <w:iCs/>
        </w:rPr>
        <w:t>niveus</w:t>
      </w:r>
      <w:proofErr w:type="spellEnd"/>
      <w:r w:rsidRPr="004C7493">
        <w:rPr>
          <w:rFonts w:ascii="Lora" w:hAnsi="Lora" w:cs="AGaramondPro-Regular"/>
        </w:rPr>
        <w:t xml:space="preserve"> is a ubiquitous soil fungus with a wide geographic distribution: it has been isolated from culled fruit, processed foods, and orchard and garden soils. The disease could occur wherever the fungus </w:t>
      </w:r>
      <w:proofErr w:type="gramStart"/>
      <w:r w:rsidRPr="004C7493">
        <w:rPr>
          <w:rFonts w:ascii="Lora" w:hAnsi="Lora" w:cs="AGaramondPro-Regular"/>
        </w:rPr>
        <w:t>comes in contact with</w:t>
      </w:r>
      <w:proofErr w:type="gramEnd"/>
      <w:r w:rsidRPr="004C7493">
        <w:rPr>
          <w:rFonts w:ascii="Lora" w:hAnsi="Lora" w:cs="AGaramondPro-Regular"/>
        </w:rPr>
        <w:t xml:space="preserve"> wounded apples. </w:t>
      </w:r>
    </w:p>
    <w:p w14:paraId="6284E2E6" w14:textId="77777777" w:rsidR="00CD1D71" w:rsidRDefault="00CD1D71" w:rsidP="004C7493">
      <w:pPr>
        <w:rPr>
          <w:rFonts w:ascii="Lora" w:hAnsi="Lora" w:cs="Times New Roman"/>
        </w:rPr>
        <w:sectPr w:rsidR="00CD1D71" w:rsidSect="00437088">
          <w:type w:val="continuous"/>
          <w:pgSz w:w="12240" w:h="15840"/>
          <w:pgMar w:top="720" w:right="720" w:bottom="720" w:left="720" w:header="720" w:footer="720" w:gutter="0"/>
          <w:cols w:num="2" w:space="720"/>
          <w:docGrid w:linePitch="360"/>
        </w:sectPr>
      </w:pPr>
    </w:p>
    <w:p w14:paraId="3C45F6DC" w14:textId="0B1C036D" w:rsidR="00176B92" w:rsidRDefault="00CD1D71" w:rsidP="004C7493">
      <w:pPr>
        <w:rPr>
          <w:rFonts w:ascii="Lora" w:hAnsi="Lora" w:cs="Times New Roman"/>
        </w:rPr>
      </w:pPr>
      <w:r w:rsidRPr="00176B92">
        <w:rPr>
          <w:rFonts w:ascii="Lora" w:hAnsi="Lora" w:cs="Times New Roman"/>
          <w:noProof/>
        </w:rPr>
        <w:drawing>
          <wp:inline distT="0" distB="0" distL="0" distR="0" wp14:anchorId="1EBF061D" wp14:editId="215A3E22">
            <wp:extent cx="2987807" cy="2971800"/>
            <wp:effectExtent l="0" t="0" r="3175" b="0"/>
            <wp:docPr id="1346382572" name="Picture 1" descr="A close up of a petri d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82572" name="Picture 1" descr="A close up of a petri dish&#10;&#10;Description automatically generated"/>
                    <pic:cNvPicPr/>
                  </pic:nvPicPr>
                  <pic:blipFill>
                    <a:blip r:embed="rId7"/>
                    <a:stretch>
                      <a:fillRect/>
                    </a:stretch>
                  </pic:blipFill>
                  <pic:spPr>
                    <a:xfrm>
                      <a:off x="0" y="0"/>
                      <a:ext cx="3001452" cy="2985372"/>
                    </a:xfrm>
                    <a:prstGeom prst="rect">
                      <a:avLst/>
                    </a:prstGeom>
                  </pic:spPr>
                </pic:pic>
              </a:graphicData>
            </a:graphic>
          </wp:inline>
        </w:drawing>
      </w:r>
    </w:p>
    <w:p w14:paraId="5BE3773C" w14:textId="77777777" w:rsidR="00CD1D71" w:rsidRPr="00EB0C0D" w:rsidRDefault="00CD1D71" w:rsidP="00CD1D71">
      <w:pPr>
        <w:spacing w:after="120"/>
        <w:rPr>
          <w:rFonts w:ascii="Work Sans" w:hAnsi="Work Sans"/>
          <w:b/>
          <w:color w:val="000000"/>
          <w:sz w:val="28"/>
          <w:szCs w:val="28"/>
        </w:rPr>
      </w:pPr>
      <w:r w:rsidRPr="00117CDE">
        <w:rPr>
          <w:rFonts w:ascii="Work Sans" w:hAnsi="Work Sans"/>
          <w:b/>
          <w:color w:val="000000"/>
          <w:sz w:val="28"/>
          <w:szCs w:val="28"/>
        </w:rPr>
        <w:t>Management Strategies</w:t>
      </w:r>
      <w:r w:rsidRPr="009D7FC0">
        <w:rPr>
          <w:rFonts w:ascii="Lora" w:hAnsi="Lora" w:cs="Times New Roman"/>
        </w:rPr>
        <w:t xml:space="preserve"> </w:t>
      </w:r>
    </w:p>
    <w:p w14:paraId="40620F44" w14:textId="77777777" w:rsidR="00CD1D71" w:rsidRDefault="00CD1D71" w:rsidP="00CD1D71">
      <w:pPr>
        <w:rPr>
          <w:rFonts w:ascii="Lora" w:hAnsi="Lora" w:cs="Times New Roman"/>
        </w:rPr>
      </w:pPr>
      <w:r w:rsidRPr="00176B92">
        <w:rPr>
          <w:rFonts w:ascii="Lora" w:hAnsi="Lora" w:cs="Times New Roman"/>
        </w:rPr>
        <w:t xml:space="preserve">Development of Paecilomyces rot may be reduced by preventing fruit contact with soil, a natural reservoir of fungal inoculum. Market and use only unwounded apples. Remove infected apples with developing characteristic lesions. </w:t>
      </w:r>
    </w:p>
    <w:p w14:paraId="5D0061DF" w14:textId="0CF06EB6" w:rsidR="00940D33" w:rsidRDefault="00940D33" w:rsidP="00940D33">
      <w:pPr>
        <w:spacing w:after="120"/>
        <w:rPr>
          <w:rFonts w:ascii="Work Sans" w:hAnsi="Work Sans"/>
          <w:b/>
          <w:color w:val="000000"/>
          <w:sz w:val="28"/>
          <w:szCs w:val="28"/>
        </w:rPr>
      </w:pPr>
      <w:r w:rsidRPr="00940D33">
        <w:rPr>
          <w:rFonts w:ascii="Work Sans" w:hAnsi="Work Sans"/>
          <w:b/>
          <w:color w:val="000000"/>
          <w:sz w:val="28"/>
          <w:szCs w:val="28"/>
        </w:rPr>
        <w:t>Damage</w:t>
      </w:r>
    </w:p>
    <w:p w14:paraId="5CFEFF1A" w14:textId="7AF74F17" w:rsidR="00940D33" w:rsidRDefault="00AB77BA" w:rsidP="00AB77BA">
      <w:pPr>
        <w:rPr>
          <w:rFonts w:ascii="Lora" w:hAnsi="Lora" w:cs="Times New Roman"/>
        </w:rPr>
      </w:pPr>
      <w:r w:rsidRPr="00AB77BA">
        <w:rPr>
          <w:rFonts w:ascii="Lora" w:hAnsi="Lora" w:cs="Times New Roman"/>
        </w:rPr>
        <w:t>Paecilomyces rot was first described in 2018, and its distribution and impacts are not yet understood. The disease has recently been reported in China. In the US, the disease may be infrequent, or it may have been misdiagnosed, or masked by other diseases of similar appearance.</w:t>
      </w:r>
    </w:p>
    <w:p w14:paraId="0927E547" w14:textId="03E2DC69" w:rsidR="00AB77BA" w:rsidRDefault="00D003C0" w:rsidP="00AB77BA">
      <w:pPr>
        <w:rPr>
          <w:rFonts w:ascii="Lora" w:hAnsi="Lora" w:cs="Times New Roman"/>
        </w:rPr>
      </w:pPr>
      <w:r w:rsidRPr="00D003C0">
        <w:rPr>
          <w:rFonts w:ascii="Lora" w:hAnsi="Lora" w:cs="Times New Roman"/>
          <w:noProof/>
        </w:rPr>
        <w:drawing>
          <wp:inline distT="0" distB="0" distL="0" distR="0" wp14:anchorId="312E50E8" wp14:editId="45479ED2">
            <wp:extent cx="3057525" cy="1932186"/>
            <wp:effectExtent l="0" t="0" r="0" b="0"/>
            <wp:docPr id="1184312520" name="Picture 1" descr="A close-up of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12520" name="Picture 1" descr="A close-up of bubbles&#10;&#10;Description automatically generated"/>
                    <pic:cNvPicPr/>
                  </pic:nvPicPr>
                  <pic:blipFill>
                    <a:blip r:embed="rId8"/>
                    <a:stretch>
                      <a:fillRect/>
                    </a:stretch>
                  </pic:blipFill>
                  <pic:spPr>
                    <a:xfrm>
                      <a:off x="0" y="0"/>
                      <a:ext cx="3058720" cy="1932941"/>
                    </a:xfrm>
                    <a:prstGeom prst="rect">
                      <a:avLst/>
                    </a:prstGeom>
                  </pic:spPr>
                </pic:pic>
              </a:graphicData>
            </a:graphic>
          </wp:inline>
        </w:drawing>
      </w:r>
    </w:p>
    <w:p w14:paraId="697F3F3D" w14:textId="77777777" w:rsidR="0013026F" w:rsidRDefault="00D003C0" w:rsidP="00D003C0">
      <w:pPr>
        <w:spacing w:after="120"/>
        <w:rPr>
          <w:rFonts w:ascii="Lora" w:hAnsi="Lora" w:cs="AGaramondPro-Regular"/>
          <w:sz w:val="20"/>
          <w:szCs w:val="20"/>
        </w:rPr>
      </w:pPr>
      <w:r w:rsidRPr="00D003C0">
        <w:rPr>
          <w:rFonts w:ascii="Lora" w:hAnsi="Lora" w:cs="AGaramondPro-Regular"/>
          <w:sz w:val="20"/>
          <w:szCs w:val="20"/>
        </w:rPr>
        <w:t xml:space="preserve">Figure 3: Spherical, eight-spored asci of </w:t>
      </w:r>
      <w:r w:rsidRPr="00D003C0">
        <w:rPr>
          <w:rFonts w:ascii="Lora" w:hAnsi="Lora" w:cs="AGaramondPro-Regular"/>
          <w:i/>
          <w:iCs/>
          <w:sz w:val="20"/>
          <w:szCs w:val="20"/>
        </w:rPr>
        <w:t xml:space="preserve">Paecilomyces </w:t>
      </w:r>
      <w:proofErr w:type="spellStart"/>
      <w:r w:rsidRPr="00D003C0">
        <w:rPr>
          <w:rFonts w:ascii="Lora" w:hAnsi="Lora" w:cs="AGaramondPro-Regular"/>
          <w:i/>
          <w:iCs/>
          <w:sz w:val="20"/>
          <w:szCs w:val="20"/>
        </w:rPr>
        <w:t>niveus</w:t>
      </w:r>
      <w:proofErr w:type="spellEnd"/>
      <w:r w:rsidRPr="00D003C0">
        <w:rPr>
          <w:rFonts w:ascii="Lora" w:hAnsi="Lora" w:cs="AGaramondPro-Regular"/>
          <w:sz w:val="20"/>
          <w:szCs w:val="20"/>
        </w:rPr>
        <w:t xml:space="preserve"> may be found in the flesh of infected apples. (Picture taken under compound microscope</w:t>
      </w:r>
    </w:p>
    <w:p w14:paraId="02DAED1C" w14:textId="77777777" w:rsidR="00CD1D71" w:rsidRDefault="00CD1D71" w:rsidP="00D003C0">
      <w:pPr>
        <w:spacing w:after="120"/>
        <w:rPr>
          <w:rFonts w:ascii="Lora" w:hAnsi="Lora" w:cs="AGaramondPro-Regular"/>
          <w:sz w:val="20"/>
          <w:szCs w:val="20"/>
        </w:rPr>
      </w:pPr>
    </w:p>
    <w:p w14:paraId="21697768" w14:textId="77777777" w:rsidR="00CD1D71" w:rsidRDefault="00CD1D71" w:rsidP="00D003C0">
      <w:pPr>
        <w:spacing w:after="120"/>
        <w:rPr>
          <w:rFonts w:ascii="Lora" w:hAnsi="Lora" w:cs="AGaramondPro-Regular"/>
          <w:sz w:val="20"/>
          <w:szCs w:val="20"/>
        </w:rPr>
      </w:pPr>
    </w:p>
    <w:p w14:paraId="308343EB" w14:textId="68A159F2" w:rsidR="00CD1D71" w:rsidRDefault="00CD1D71" w:rsidP="00D003C0">
      <w:pPr>
        <w:spacing w:after="120"/>
        <w:rPr>
          <w:rFonts w:ascii="Lora" w:hAnsi="Lora" w:cs="Times New Roman"/>
        </w:rPr>
        <w:sectPr w:rsidR="00CD1D71" w:rsidSect="00CD1D71">
          <w:type w:val="continuous"/>
          <w:pgSz w:w="12240" w:h="15840"/>
          <w:pgMar w:top="720" w:right="720" w:bottom="720" w:left="720" w:header="720" w:footer="720" w:gutter="0"/>
          <w:cols w:num="2" w:space="720"/>
          <w:docGrid w:linePitch="360"/>
        </w:sectPr>
      </w:pPr>
    </w:p>
    <w:p w14:paraId="0CD63BDF" w14:textId="77777777" w:rsidR="00CD1D71" w:rsidRDefault="00CD1D71" w:rsidP="00CD1D71">
      <w:pPr>
        <w:spacing w:after="120"/>
        <w:rPr>
          <w:rFonts w:ascii="Lora" w:hAnsi="Lora" w:cs="AGaramondPro-Regular"/>
          <w:sz w:val="20"/>
          <w:szCs w:val="20"/>
        </w:rPr>
      </w:pPr>
      <w:r w:rsidRPr="00940D33">
        <w:rPr>
          <w:rFonts w:ascii="Lora" w:hAnsi="Lora" w:cs="AGaramondPro-Regular"/>
          <w:sz w:val="20"/>
          <w:szCs w:val="20"/>
        </w:rPr>
        <w:t xml:space="preserve">Figure 2: </w:t>
      </w:r>
      <w:r>
        <w:rPr>
          <w:rFonts w:ascii="Lora" w:hAnsi="Lora" w:cs="AGaramondPro-Regular"/>
          <w:sz w:val="20"/>
          <w:szCs w:val="20"/>
        </w:rPr>
        <w:t>Four-day-old</w:t>
      </w:r>
      <w:r w:rsidRPr="00940D33">
        <w:rPr>
          <w:rFonts w:ascii="Lora" w:hAnsi="Lora" w:cs="AGaramondPro-Regular"/>
          <w:sz w:val="20"/>
          <w:szCs w:val="20"/>
        </w:rPr>
        <w:t xml:space="preserve"> colony of </w:t>
      </w:r>
      <w:r w:rsidRPr="00940D33">
        <w:rPr>
          <w:rFonts w:ascii="Lora" w:hAnsi="Lora" w:cs="AGaramondPro-Regular"/>
          <w:i/>
          <w:iCs/>
          <w:sz w:val="20"/>
          <w:szCs w:val="20"/>
        </w:rPr>
        <w:t xml:space="preserve">Paecilomyces </w:t>
      </w:r>
      <w:proofErr w:type="spellStart"/>
      <w:r w:rsidRPr="00940D33">
        <w:rPr>
          <w:rFonts w:ascii="Lora" w:hAnsi="Lora" w:cs="AGaramondPro-Regular"/>
          <w:i/>
          <w:iCs/>
          <w:sz w:val="20"/>
          <w:szCs w:val="20"/>
        </w:rPr>
        <w:t>niveus</w:t>
      </w:r>
      <w:proofErr w:type="spellEnd"/>
      <w:r w:rsidRPr="00940D33">
        <w:rPr>
          <w:rFonts w:ascii="Lora" w:hAnsi="Lora" w:cs="AGaramondPro-Regular"/>
          <w:sz w:val="20"/>
          <w:szCs w:val="20"/>
        </w:rPr>
        <w:t xml:space="preserve"> on potato dextrose agar, (left: front, right: reverse)</w:t>
      </w:r>
      <w:r>
        <w:rPr>
          <w:rFonts w:ascii="Lora" w:hAnsi="Lora" w:cs="AGaramondPro-Regular"/>
          <w:sz w:val="20"/>
          <w:szCs w:val="20"/>
        </w:rPr>
        <w:t>.</w:t>
      </w:r>
    </w:p>
    <w:p w14:paraId="2EE8ABA8" w14:textId="1386CF53" w:rsidR="00FF4A37" w:rsidRDefault="00CD1D71" w:rsidP="00724758">
      <w:pPr>
        <w:pStyle w:val="NormalWeb"/>
        <w:spacing w:after="120" w:afterAutospacing="0"/>
        <w:rPr>
          <w:rFonts w:ascii="Work Sans" w:hAnsi="Work Sans"/>
          <w:b/>
          <w:color w:val="000000"/>
          <w:sz w:val="28"/>
          <w:szCs w:val="28"/>
        </w:rPr>
      </w:pPr>
      <w:r>
        <w:rPr>
          <w:rFonts w:ascii="Work Sans" w:hAnsi="Work Sans"/>
          <w:b/>
          <w:color w:val="000000"/>
          <w:sz w:val="28"/>
          <w:szCs w:val="28"/>
        </w:rPr>
        <w:t>R</w:t>
      </w:r>
      <w:r w:rsidR="00FF4A37">
        <w:rPr>
          <w:rFonts w:ascii="Work Sans" w:hAnsi="Work Sans"/>
          <w:b/>
          <w:color w:val="000000"/>
          <w:sz w:val="28"/>
          <w:szCs w:val="28"/>
        </w:rPr>
        <w:t>eferences</w:t>
      </w:r>
      <w:r>
        <w:rPr>
          <w:rFonts w:ascii="Work Sans" w:hAnsi="Work Sans"/>
          <w:b/>
          <w:color w:val="000000"/>
          <w:sz w:val="28"/>
          <w:szCs w:val="28"/>
        </w:rPr>
        <w:t>:</w:t>
      </w:r>
    </w:p>
    <w:p w14:paraId="3FDD930A" w14:textId="77777777" w:rsidR="00EE5118" w:rsidRDefault="00FF4A37" w:rsidP="00FF4A37">
      <w:pPr>
        <w:pStyle w:val="NormalWeb"/>
        <w:rPr>
          <w:rFonts w:ascii="Lora" w:hAnsi="Lora"/>
          <w:color w:val="000000"/>
          <w:sz w:val="22"/>
          <w:szCs w:val="22"/>
        </w:rPr>
      </w:pPr>
      <w:proofErr w:type="spellStart"/>
      <w:r w:rsidRPr="00FF4A37">
        <w:rPr>
          <w:rFonts w:ascii="Lora" w:hAnsi="Lora"/>
          <w:color w:val="000000"/>
          <w:sz w:val="22"/>
          <w:szCs w:val="22"/>
        </w:rPr>
        <w:t>Biango</w:t>
      </w:r>
      <w:proofErr w:type="spellEnd"/>
      <w:r w:rsidRPr="00FF4A37">
        <w:rPr>
          <w:rFonts w:ascii="Lora" w:hAnsi="Lora"/>
          <w:color w:val="000000"/>
          <w:sz w:val="22"/>
          <w:szCs w:val="22"/>
        </w:rPr>
        <w:t xml:space="preserve">-Daniels, Megan N., and Kathie T. Hodge. "Paecilomyces rot: a new apple disease." Plant disease 102, no. 8 (2018): 1581-1587. </w:t>
      </w:r>
    </w:p>
    <w:p w14:paraId="79D97ECE" w14:textId="77777777" w:rsidR="00EE5118" w:rsidRDefault="00FF4A37" w:rsidP="00FF4A37">
      <w:pPr>
        <w:pStyle w:val="NormalWeb"/>
        <w:rPr>
          <w:rFonts w:ascii="Lora" w:hAnsi="Lora"/>
          <w:color w:val="000000"/>
          <w:sz w:val="22"/>
          <w:szCs w:val="22"/>
        </w:rPr>
      </w:pPr>
      <w:proofErr w:type="spellStart"/>
      <w:r w:rsidRPr="00FF4A37">
        <w:rPr>
          <w:rFonts w:ascii="Lora" w:hAnsi="Lora"/>
          <w:color w:val="000000"/>
          <w:sz w:val="22"/>
          <w:szCs w:val="22"/>
        </w:rPr>
        <w:t>Biango</w:t>
      </w:r>
      <w:proofErr w:type="spellEnd"/>
      <w:r w:rsidRPr="00FF4A37">
        <w:rPr>
          <w:rFonts w:ascii="Lora" w:hAnsi="Lora"/>
          <w:color w:val="000000"/>
          <w:sz w:val="22"/>
          <w:szCs w:val="22"/>
        </w:rPr>
        <w:t xml:space="preserve">-Daniels, Megan N., Abigail B. Snyder, Randy W. </w:t>
      </w:r>
      <w:proofErr w:type="spellStart"/>
      <w:r w:rsidRPr="00FF4A37">
        <w:rPr>
          <w:rFonts w:ascii="Lora" w:hAnsi="Lora"/>
          <w:color w:val="000000"/>
          <w:sz w:val="22"/>
          <w:szCs w:val="22"/>
        </w:rPr>
        <w:t>Worobo</w:t>
      </w:r>
      <w:proofErr w:type="spellEnd"/>
      <w:r w:rsidRPr="00FF4A37">
        <w:rPr>
          <w:rFonts w:ascii="Lora" w:hAnsi="Lora"/>
          <w:color w:val="000000"/>
          <w:sz w:val="22"/>
          <w:szCs w:val="22"/>
        </w:rPr>
        <w:t xml:space="preserve">, and Kathie T. Hodge. "Fruit infected with </w:t>
      </w:r>
      <w:r w:rsidRPr="00EE5118">
        <w:rPr>
          <w:rFonts w:ascii="Lora" w:hAnsi="Lora"/>
          <w:i/>
          <w:iCs/>
          <w:color w:val="000000"/>
          <w:sz w:val="22"/>
          <w:szCs w:val="22"/>
        </w:rPr>
        <w:t xml:space="preserve">Paecilomyces </w:t>
      </w:r>
      <w:proofErr w:type="spellStart"/>
      <w:r w:rsidRPr="00EE5118">
        <w:rPr>
          <w:rFonts w:ascii="Lora" w:hAnsi="Lora"/>
          <w:i/>
          <w:iCs/>
          <w:color w:val="000000"/>
          <w:sz w:val="22"/>
          <w:szCs w:val="22"/>
        </w:rPr>
        <w:t>niveus</w:t>
      </w:r>
      <w:proofErr w:type="spellEnd"/>
      <w:r w:rsidRPr="00FF4A37">
        <w:rPr>
          <w:rFonts w:ascii="Lora" w:hAnsi="Lora"/>
          <w:color w:val="000000"/>
          <w:sz w:val="22"/>
          <w:szCs w:val="22"/>
        </w:rPr>
        <w:t xml:space="preserve">: A source of spoilage inoculum and patulin in apple juice </w:t>
      </w:r>
      <w:proofErr w:type="gramStart"/>
      <w:r w:rsidRPr="00FF4A37">
        <w:rPr>
          <w:rFonts w:ascii="Lora" w:hAnsi="Lora"/>
          <w:color w:val="000000"/>
          <w:sz w:val="22"/>
          <w:szCs w:val="22"/>
        </w:rPr>
        <w:t>concentrate?.</w:t>
      </w:r>
      <w:proofErr w:type="gramEnd"/>
      <w:r w:rsidRPr="00FF4A37">
        <w:rPr>
          <w:rFonts w:ascii="Lora" w:hAnsi="Lora"/>
          <w:color w:val="000000"/>
          <w:sz w:val="22"/>
          <w:szCs w:val="22"/>
        </w:rPr>
        <w:t xml:space="preserve">" Food Control 97 (2019): 81-86. </w:t>
      </w:r>
    </w:p>
    <w:p w14:paraId="467ECC97" w14:textId="77777777" w:rsidR="000468BB" w:rsidRDefault="00FF4A37" w:rsidP="00FF4A37">
      <w:pPr>
        <w:pStyle w:val="NormalWeb"/>
        <w:rPr>
          <w:rFonts w:ascii="Lora" w:hAnsi="Lora"/>
          <w:color w:val="000000"/>
          <w:sz w:val="22"/>
          <w:szCs w:val="22"/>
        </w:rPr>
      </w:pPr>
      <w:r w:rsidRPr="00FF4A37">
        <w:rPr>
          <w:rFonts w:ascii="Lora" w:hAnsi="Lora"/>
          <w:color w:val="000000"/>
          <w:sz w:val="22"/>
          <w:szCs w:val="22"/>
        </w:rPr>
        <w:t xml:space="preserve">Khokhar </w:t>
      </w:r>
      <w:proofErr w:type="spellStart"/>
      <w:r w:rsidRPr="00FF4A37">
        <w:rPr>
          <w:rFonts w:ascii="Lora" w:hAnsi="Lora"/>
          <w:color w:val="000000"/>
          <w:sz w:val="22"/>
          <w:szCs w:val="22"/>
        </w:rPr>
        <w:t>Ibatsam</w:t>
      </w:r>
      <w:proofErr w:type="spellEnd"/>
      <w:r w:rsidRPr="00FF4A37">
        <w:rPr>
          <w:rFonts w:ascii="Lora" w:hAnsi="Lora"/>
          <w:color w:val="000000"/>
          <w:sz w:val="22"/>
          <w:szCs w:val="22"/>
        </w:rPr>
        <w:t xml:space="preserve">, </w:t>
      </w:r>
      <w:proofErr w:type="spellStart"/>
      <w:r w:rsidRPr="00FF4A37">
        <w:rPr>
          <w:rFonts w:ascii="Lora" w:hAnsi="Lora"/>
          <w:color w:val="000000"/>
          <w:sz w:val="22"/>
          <w:szCs w:val="22"/>
        </w:rPr>
        <w:t>Junhuan</w:t>
      </w:r>
      <w:proofErr w:type="spellEnd"/>
      <w:r w:rsidRPr="00FF4A37">
        <w:rPr>
          <w:rFonts w:ascii="Lora" w:hAnsi="Lora"/>
          <w:color w:val="000000"/>
          <w:sz w:val="22"/>
          <w:szCs w:val="22"/>
        </w:rPr>
        <w:t xml:space="preserve"> Wang, Irum Mukhtar, et al. "First Report of Paecilomyces Rot on Apples in China." Plant disease 103, no. 4 (2019). </w:t>
      </w:r>
    </w:p>
    <w:p w14:paraId="66762F25" w14:textId="77777777" w:rsidR="000468BB" w:rsidRDefault="00FF4A37" w:rsidP="00FF4A37">
      <w:pPr>
        <w:pStyle w:val="NormalWeb"/>
        <w:rPr>
          <w:rFonts w:ascii="Lora" w:hAnsi="Lora"/>
          <w:color w:val="000000"/>
          <w:sz w:val="22"/>
          <w:szCs w:val="22"/>
        </w:rPr>
      </w:pPr>
      <w:r w:rsidRPr="00FF4A37">
        <w:rPr>
          <w:rFonts w:ascii="Lora" w:hAnsi="Lora"/>
          <w:color w:val="000000"/>
          <w:sz w:val="22"/>
          <w:szCs w:val="22"/>
        </w:rPr>
        <w:lastRenderedPageBreak/>
        <w:t>Tournas, Valerie. "Heat-resistant fungi of importance to the food and beverage industry." Critical Reviews in Microbiology 20, no. 4 (1994): 243-263.</w:t>
      </w:r>
    </w:p>
    <w:p w14:paraId="09E78786" w14:textId="5499A89E" w:rsidR="00982A07" w:rsidRPr="00DD343C" w:rsidRDefault="00086928" w:rsidP="00724758">
      <w:pPr>
        <w:pStyle w:val="NormalWeb"/>
        <w:spacing w:after="120" w:afterAutospacing="0"/>
        <w:rPr>
          <w:rFonts w:ascii="Lora" w:hAnsi="Lora"/>
          <w:bCs/>
          <w:color w:val="000000"/>
          <w:sz w:val="22"/>
          <w:szCs w:val="22"/>
        </w:rPr>
      </w:pPr>
      <w:r w:rsidRPr="00FB0F94">
        <w:rPr>
          <w:rFonts w:ascii="Work Sans" w:hAnsi="Work Sans"/>
          <w:b/>
          <w:color w:val="000000"/>
          <w:sz w:val="28"/>
          <w:szCs w:val="28"/>
        </w:rPr>
        <w:t>Prepared by</w:t>
      </w:r>
      <w:r w:rsidRPr="00724758">
        <w:rPr>
          <w:rFonts w:ascii="Lora" w:hAnsi="Lora"/>
          <w:b/>
          <w:color w:val="000000"/>
          <w:sz w:val="22"/>
          <w:szCs w:val="22"/>
        </w:rPr>
        <w:t xml:space="preserve"> </w:t>
      </w:r>
      <w:r w:rsidR="000468BB" w:rsidRPr="00FF4A37">
        <w:rPr>
          <w:rFonts w:ascii="Lora" w:hAnsi="Lora"/>
          <w:color w:val="000000"/>
          <w:sz w:val="22"/>
          <w:szCs w:val="22"/>
        </w:rPr>
        <w:t xml:space="preserve">Tristan W. Wang, Megan N. </w:t>
      </w:r>
      <w:proofErr w:type="spellStart"/>
      <w:r w:rsidR="000468BB" w:rsidRPr="00FF4A37">
        <w:rPr>
          <w:rFonts w:ascii="Lora" w:hAnsi="Lora"/>
          <w:color w:val="000000"/>
          <w:sz w:val="22"/>
          <w:szCs w:val="22"/>
        </w:rPr>
        <w:t>Biango</w:t>
      </w:r>
      <w:proofErr w:type="spellEnd"/>
      <w:r w:rsidR="000468BB" w:rsidRPr="00FF4A37">
        <w:rPr>
          <w:rFonts w:ascii="Lora" w:hAnsi="Lora"/>
          <w:color w:val="000000"/>
          <w:sz w:val="22"/>
          <w:szCs w:val="22"/>
        </w:rPr>
        <w:t>-Daniels, Kathie T. Hodge</w:t>
      </w:r>
      <w:r w:rsidR="00CD1D71">
        <w:rPr>
          <w:rFonts w:ascii="Lora" w:hAnsi="Lora"/>
          <w:color w:val="000000"/>
          <w:sz w:val="22"/>
          <w:szCs w:val="22"/>
        </w:rPr>
        <w:t xml:space="preserve">; </w:t>
      </w:r>
      <w:r w:rsidR="005C0F32" w:rsidRPr="005C0F32">
        <w:rPr>
          <w:rFonts w:ascii="Lora" w:hAnsi="Lora"/>
          <w:bCs/>
          <w:color w:val="000000"/>
          <w:sz w:val="22"/>
          <w:szCs w:val="22"/>
        </w:rPr>
        <w:t>Updated</w:t>
      </w:r>
      <w:r w:rsidR="005C0F32">
        <w:rPr>
          <w:rFonts w:ascii="Lora" w:hAnsi="Lora"/>
          <w:b/>
          <w:color w:val="000000"/>
          <w:sz w:val="22"/>
          <w:szCs w:val="22"/>
        </w:rPr>
        <w:t xml:space="preserve"> </w:t>
      </w:r>
      <w:r w:rsidR="00326090">
        <w:rPr>
          <w:rFonts w:ascii="Lora" w:hAnsi="Lora"/>
          <w:bCs/>
          <w:color w:val="000000"/>
          <w:sz w:val="22"/>
          <w:szCs w:val="22"/>
        </w:rPr>
        <w:t>SLJ</w:t>
      </w:r>
      <w:r w:rsidR="000468BB">
        <w:rPr>
          <w:rFonts w:ascii="Lora" w:hAnsi="Lora"/>
          <w:bCs/>
          <w:color w:val="000000"/>
          <w:sz w:val="22"/>
          <w:szCs w:val="22"/>
        </w:rPr>
        <w:t>2</w:t>
      </w:r>
      <w:r w:rsidR="00326090">
        <w:rPr>
          <w:rFonts w:ascii="Lora" w:hAnsi="Lora"/>
          <w:bCs/>
          <w:color w:val="000000"/>
          <w:sz w:val="22"/>
          <w:szCs w:val="22"/>
        </w:rPr>
        <w:t xml:space="preserve"> </w:t>
      </w:r>
      <w:r w:rsidR="000468BB">
        <w:rPr>
          <w:rFonts w:ascii="Lora" w:hAnsi="Lora"/>
          <w:bCs/>
          <w:color w:val="000000"/>
          <w:sz w:val="22"/>
          <w:szCs w:val="22"/>
        </w:rPr>
        <w:t>and LG658</w:t>
      </w:r>
      <w:r w:rsidR="00CD1D71">
        <w:rPr>
          <w:rFonts w:ascii="Lora" w:hAnsi="Lora"/>
          <w:bCs/>
          <w:color w:val="000000"/>
          <w:sz w:val="22"/>
          <w:szCs w:val="22"/>
        </w:rPr>
        <w:t>,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E28AA23"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CD1D71">
        <w:rPr>
          <w:rFonts w:ascii="Lora" w:hAnsi="Lora"/>
          <w:color w:val="000000"/>
        </w:rPr>
        <w:fldChar w:fldCharType="begin"/>
      </w:r>
      <w:r w:rsidR="00CD1D71">
        <w:rPr>
          <w:rFonts w:ascii="Lora" w:hAnsi="Lora"/>
          <w:color w:val="000000"/>
        </w:rPr>
        <w:instrText>HYPERLINK "mailto:</w:instrText>
      </w:r>
      <w:r w:rsidR="00CD1D71" w:rsidRPr="00CD1D71">
        <w:rPr>
          <w:rFonts w:ascii="Lora" w:hAnsi="Lora"/>
          <w:color w:val="000000"/>
        </w:rPr>
        <w:instrText>Cornell-plantdiseaseclinic@cornell.edu</w:instrText>
      </w:r>
      <w:r w:rsidR="00CD1D71">
        <w:rPr>
          <w:rFonts w:ascii="Lora" w:hAnsi="Lora"/>
          <w:color w:val="000000"/>
        </w:rPr>
        <w:instrText>"</w:instrText>
      </w:r>
      <w:r w:rsidR="00CD1D71">
        <w:rPr>
          <w:rFonts w:ascii="Lora" w:hAnsi="Lora"/>
          <w:color w:val="000000"/>
        </w:rPr>
        <w:fldChar w:fldCharType="separate"/>
      </w:r>
      <w:r w:rsidR="00CD1D71" w:rsidRPr="00E02942">
        <w:rPr>
          <w:rStyle w:val="Hyperlink"/>
          <w:rFonts w:ascii="Lora" w:hAnsi="Lora"/>
        </w:rPr>
        <w:t>Cornell-plantdiseaseclinic@cornell.edu</w:t>
      </w:r>
      <w:bookmarkEnd w:id="1"/>
      <w:r w:rsidR="00CD1D71">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316F2"/>
    <w:rsid w:val="000468BB"/>
    <w:rsid w:val="00050B67"/>
    <w:rsid w:val="00086928"/>
    <w:rsid w:val="00092E33"/>
    <w:rsid w:val="00094B24"/>
    <w:rsid w:val="000A02AC"/>
    <w:rsid w:val="000C3797"/>
    <w:rsid w:val="000D64CA"/>
    <w:rsid w:val="000F06D2"/>
    <w:rsid w:val="00117CDE"/>
    <w:rsid w:val="0013026F"/>
    <w:rsid w:val="00141E2E"/>
    <w:rsid w:val="001433B4"/>
    <w:rsid w:val="00155469"/>
    <w:rsid w:val="0016552F"/>
    <w:rsid w:val="00176B92"/>
    <w:rsid w:val="001A1913"/>
    <w:rsid w:val="001A1A8C"/>
    <w:rsid w:val="001B6921"/>
    <w:rsid w:val="001C63E8"/>
    <w:rsid w:val="0022664F"/>
    <w:rsid w:val="00232B42"/>
    <w:rsid w:val="002428A1"/>
    <w:rsid w:val="00245CF4"/>
    <w:rsid w:val="00273397"/>
    <w:rsid w:val="002734C2"/>
    <w:rsid w:val="00297543"/>
    <w:rsid w:val="002A788C"/>
    <w:rsid w:val="002C4C68"/>
    <w:rsid w:val="00311275"/>
    <w:rsid w:val="00320FFA"/>
    <w:rsid w:val="00326090"/>
    <w:rsid w:val="0033518B"/>
    <w:rsid w:val="0033776F"/>
    <w:rsid w:val="003621F8"/>
    <w:rsid w:val="00365971"/>
    <w:rsid w:val="00365D0E"/>
    <w:rsid w:val="00383002"/>
    <w:rsid w:val="00384F40"/>
    <w:rsid w:val="003B754B"/>
    <w:rsid w:val="003C4E17"/>
    <w:rsid w:val="003D6C2B"/>
    <w:rsid w:val="003D7E09"/>
    <w:rsid w:val="00403712"/>
    <w:rsid w:val="00406A57"/>
    <w:rsid w:val="0042353D"/>
    <w:rsid w:val="00437088"/>
    <w:rsid w:val="004474E1"/>
    <w:rsid w:val="00466E05"/>
    <w:rsid w:val="00470C2F"/>
    <w:rsid w:val="00473CFB"/>
    <w:rsid w:val="0047516B"/>
    <w:rsid w:val="0047553D"/>
    <w:rsid w:val="004778F5"/>
    <w:rsid w:val="004C536B"/>
    <w:rsid w:val="004C7493"/>
    <w:rsid w:val="004D3299"/>
    <w:rsid w:val="00500C3D"/>
    <w:rsid w:val="00540F97"/>
    <w:rsid w:val="00582EEA"/>
    <w:rsid w:val="0058677B"/>
    <w:rsid w:val="005C0F32"/>
    <w:rsid w:val="005D18BA"/>
    <w:rsid w:val="005E4CFA"/>
    <w:rsid w:val="005F7428"/>
    <w:rsid w:val="00601889"/>
    <w:rsid w:val="00622E6B"/>
    <w:rsid w:val="0063693D"/>
    <w:rsid w:val="00640C1A"/>
    <w:rsid w:val="00656172"/>
    <w:rsid w:val="00676BE3"/>
    <w:rsid w:val="00677603"/>
    <w:rsid w:val="0068737A"/>
    <w:rsid w:val="00692AC8"/>
    <w:rsid w:val="006960F2"/>
    <w:rsid w:val="006C4487"/>
    <w:rsid w:val="006E4AC9"/>
    <w:rsid w:val="006F60A1"/>
    <w:rsid w:val="00705948"/>
    <w:rsid w:val="00712DAC"/>
    <w:rsid w:val="00722EC6"/>
    <w:rsid w:val="00724758"/>
    <w:rsid w:val="007270A2"/>
    <w:rsid w:val="0073478B"/>
    <w:rsid w:val="00773FF9"/>
    <w:rsid w:val="00780AA2"/>
    <w:rsid w:val="007860DB"/>
    <w:rsid w:val="007B40A9"/>
    <w:rsid w:val="007B6E7A"/>
    <w:rsid w:val="007C0DB7"/>
    <w:rsid w:val="007D4341"/>
    <w:rsid w:val="007D654A"/>
    <w:rsid w:val="007F53B5"/>
    <w:rsid w:val="007F7373"/>
    <w:rsid w:val="008508C6"/>
    <w:rsid w:val="00855099"/>
    <w:rsid w:val="00873866"/>
    <w:rsid w:val="0088205B"/>
    <w:rsid w:val="00896C25"/>
    <w:rsid w:val="008C4318"/>
    <w:rsid w:val="008E6118"/>
    <w:rsid w:val="009070B5"/>
    <w:rsid w:val="00920AF7"/>
    <w:rsid w:val="00926546"/>
    <w:rsid w:val="00940D33"/>
    <w:rsid w:val="00957FA9"/>
    <w:rsid w:val="00960A0B"/>
    <w:rsid w:val="009662F3"/>
    <w:rsid w:val="00981BBA"/>
    <w:rsid w:val="00982A07"/>
    <w:rsid w:val="009918DC"/>
    <w:rsid w:val="009C1298"/>
    <w:rsid w:val="009D7FC0"/>
    <w:rsid w:val="00A34905"/>
    <w:rsid w:val="00A37C96"/>
    <w:rsid w:val="00A62DA2"/>
    <w:rsid w:val="00A72146"/>
    <w:rsid w:val="00A96D02"/>
    <w:rsid w:val="00AA7F67"/>
    <w:rsid w:val="00AB77BA"/>
    <w:rsid w:val="00AC0740"/>
    <w:rsid w:val="00AC771A"/>
    <w:rsid w:val="00AC7DAF"/>
    <w:rsid w:val="00AF6A93"/>
    <w:rsid w:val="00B057EE"/>
    <w:rsid w:val="00B17CD2"/>
    <w:rsid w:val="00B23C8E"/>
    <w:rsid w:val="00B256FC"/>
    <w:rsid w:val="00B26511"/>
    <w:rsid w:val="00B3216F"/>
    <w:rsid w:val="00B47C1A"/>
    <w:rsid w:val="00B5321F"/>
    <w:rsid w:val="00B773D7"/>
    <w:rsid w:val="00B87AF6"/>
    <w:rsid w:val="00B959A8"/>
    <w:rsid w:val="00B96351"/>
    <w:rsid w:val="00BC26F2"/>
    <w:rsid w:val="00BD5E14"/>
    <w:rsid w:val="00BD60CA"/>
    <w:rsid w:val="00BF4746"/>
    <w:rsid w:val="00BF69EB"/>
    <w:rsid w:val="00C15DB3"/>
    <w:rsid w:val="00C243C4"/>
    <w:rsid w:val="00C554EE"/>
    <w:rsid w:val="00C60942"/>
    <w:rsid w:val="00C61F77"/>
    <w:rsid w:val="00C80312"/>
    <w:rsid w:val="00CA1346"/>
    <w:rsid w:val="00CA5F19"/>
    <w:rsid w:val="00CB15FE"/>
    <w:rsid w:val="00CD1D71"/>
    <w:rsid w:val="00CF6721"/>
    <w:rsid w:val="00D003C0"/>
    <w:rsid w:val="00D146BE"/>
    <w:rsid w:val="00D55519"/>
    <w:rsid w:val="00D8288E"/>
    <w:rsid w:val="00DB31D4"/>
    <w:rsid w:val="00DB3948"/>
    <w:rsid w:val="00DD02DC"/>
    <w:rsid w:val="00DD343C"/>
    <w:rsid w:val="00E32C02"/>
    <w:rsid w:val="00E56368"/>
    <w:rsid w:val="00E617D0"/>
    <w:rsid w:val="00E72037"/>
    <w:rsid w:val="00E74566"/>
    <w:rsid w:val="00E83159"/>
    <w:rsid w:val="00E86899"/>
    <w:rsid w:val="00E942EB"/>
    <w:rsid w:val="00EB0C0D"/>
    <w:rsid w:val="00EB3366"/>
    <w:rsid w:val="00ED753D"/>
    <w:rsid w:val="00EE31A4"/>
    <w:rsid w:val="00EE4FBD"/>
    <w:rsid w:val="00EE5118"/>
    <w:rsid w:val="00F04F8E"/>
    <w:rsid w:val="00F24C99"/>
    <w:rsid w:val="00F36F18"/>
    <w:rsid w:val="00FB0F94"/>
    <w:rsid w:val="00FB2896"/>
    <w:rsid w:val="00FE0D3C"/>
    <w:rsid w:val="00FF1881"/>
    <w:rsid w:val="00FF4A37"/>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2024-12-18T20:11:00Z</dcterms:created>
  <dcterms:modified xsi:type="dcterms:W3CDTF">2024-12-18T20:11:00Z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653dbecc367925eaf68bb7b544aaa82cec88839570ba25394097344caf3368b2</vt:lpwstr>
  </property>
</Properties>
</file>